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8"/>
        <w:gridCol w:w="3770"/>
        <w:gridCol w:w="2562"/>
        <w:gridCol w:w="2566"/>
      </w:tblGrid>
      <w:tr w:rsidR="00D95265" w14:paraId="573F72C5" w14:textId="77777777" w:rsidTr="003D6DE6">
        <w:tc>
          <w:tcPr>
            <w:tcW w:w="10456" w:type="dxa"/>
            <w:gridSpan w:val="4"/>
          </w:tcPr>
          <w:p w14:paraId="6EA8B316" w14:textId="77777777" w:rsidR="00D95265" w:rsidRPr="00F47C63" w:rsidRDefault="00D95265" w:rsidP="003D6DE6">
            <w:pPr>
              <w:pStyle w:val="Zhlav"/>
              <w:spacing w:after="0"/>
              <w:jc w:val="center"/>
              <w:rPr>
                <w:rFonts w:ascii="Calibri" w:hAnsi="Calibri" w:cs="Arial"/>
                <w:b/>
                <w:sz w:val="32"/>
                <w:szCs w:val="32"/>
              </w:rPr>
            </w:pPr>
            <w:r w:rsidRPr="00F47C63">
              <w:rPr>
                <w:rFonts w:ascii="Calibri" w:hAnsi="Calibri" w:cs="Arial"/>
                <w:b/>
                <w:sz w:val="32"/>
                <w:szCs w:val="32"/>
              </w:rPr>
              <w:t>Pečovatelská služba</w:t>
            </w:r>
          </w:p>
          <w:p w14:paraId="58EB5597" w14:textId="25F9F094" w:rsidR="00D95265" w:rsidRDefault="00074C95" w:rsidP="00074C95">
            <w:pPr>
              <w:spacing w:line="276" w:lineRule="auto"/>
              <w:jc w:val="center"/>
              <w:rPr>
                <w:rFonts w:ascii="Calibri" w:hAnsi="Calibri"/>
                <w:b/>
                <w:bCs/>
                <w:kern w:val="32"/>
                <w:sz w:val="32"/>
                <w:szCs w:val="32"/>
                <w:u w:val="single"/>
                <w:lang w:val="x-none" w:eastAsia="x-none"/>
              </w:rPr>
            </w:pPr>
            <w:r>
              <w:rPr>
                <w:rFonts w:ascii="Calibri" w:hAnsi="Calibri" w:cs="Arial"/>
                <w:b/>
                <w:sz w:val="32"/>
                <w:szCs w:val="32"/>
              </w:rPr>
              <w:t>S7</w:t>
            </w:r>
            <w:r w:rsidR="005D23DC">
              <w:rPr>
                <w:rFonts w:ascii="Calibri" w:hAnsi="Calibri" w:cs="Arial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 w:cs="Arial"/>
                <w:b/>
                <w:sz w:val="32"/>
                <w:szCs w:val="32"/>
              </w:rPr>
              <w:t>Stížnosti na kvalitu nebo způsob poskytování sociální služby</w:t>
            </w:r>
          </w:p>
        </w:tc>
      </w:tr>
      <w:tr w:rsidR="00D95265" w:rsidRPr="00505E78" w14:paraId="51B5E6AB" w14:textId="77777777" w:rsidTr="003D6DE6">
        <w:tc>
          <w:tcPr>
            <w:tcW w:w="5328" w:type="dxa"/>
            <w:gridSpan w:val="2"/>
          </w:tcPr>
          <w:p w14:paraId="3822E581" w14:textId="61B9A73D" w:rsidR="00D95265" w:rsidRPr="00505E78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Metodický pokyn č.: S7</w:t>
            </w:r>
          </w:p>
        </w:tc>
        <w:tc>
          <w:tcPr>
            <w:tcW w:w="2562" w:type="dxa"/>
          </w:tcPr>
          <w:p w14:paraId="2DCB5BF5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505E78">
              <w:rPr>
                <w:rFonts w:ascii="Calibri" w:hAnsi="Calibri" w:cs="Calibri"/>
                <w:bCs/>
                <w:kern w:val="32"/>
                <w:lang w:eastAsia="x-none"/>
              </w:rPr>
              <w:t xml:space="preserve">Vydání č. </w:t>
            </w:r>
            <w:r>
              <w:rPr>
                <w:rFonts w:ascii="Calibri" w:hAnsi="Calibri" w:cs="Calibri"/>
                <w:bCs/>
                <w:kern w:val="32"/>
                <w:lang w:eastAsia="x-none"/>
              </w:rPr>
              <w:t>9</w:t>
            </w:r>
          </w:p>
        </w:tc>
        <w:tc>
          <w:tcPr>
            <w:tcW w:w="2566" w:type="dxa"/>
          </w:tcPr>
          <w:p w14:paraId="6D939487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val="x-none" w:eastAsia="x-none"/>
              </w:rPr>
            </w:pPr>
            <w:r w:rsidRPr="00505E78">
              <w:rPr>
                <w:rFonts w:ascii="Calibri" w:hAnsi="Calibri" w:cs="Calibri"/>
                <w:bCs/>
                <w:kern w:val="32"/>
                <w:lang w:eastAsia="x-none"/>
              </w:rPr>
              <w:t>Výtisk:2</w:t>
            </w:r>
          </w:p>
        </w:tc>
      </w:tr>
      <w:tr w:rsidR="00D95265" w:rsidRPr="00505E78" w14:paraId="6B8735A4" w14:textId="77777777" w:rsidTr="003D6DE6">
        <w:tc>
          <w:tcPr>
            <w:tcW w:w="1558" w:type="dxa"/>
            <w:vMerge w:val="restart"/>
          </w:tcPr>
          <w:p w14:paraId="4A5F100D" w14:textId="77777777" w:rsidR="00D95265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</w:p>
          <w:p w14:paraId="3BF7AC13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val="x-none"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Vypracoval</w:t>
            </w:r>
          </w:p>
        </w:tc>
        <w:tc>
          <w:tcPr>
            <w:tcW w:w="3770" w:type="dxa"/>
          </w:tcPr>
          <w:p w14:paraId="27911737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Jméno a příjmení</w:t>
            </w:r>
          </w:p>
        </w:tc>
        <w:tc>
          <w:tcPr>
            <w:tcW w:w="2562" w:type="dxa"/>
          </w:tcPr>
          <w:p w14:paraId="0434694F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Podpis</w:t>
            </w:r>
          </w:p>
        </w:tc>
        <w:tc>
          <w:tcPr>
            <w:tcW w:w="2566" w:type="dxa"/>
          </w:tcPr>
          <w:p w14:paraId="69B8A462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Datum</w:t>
            </w:r>
          </w:p>
        </w:tc>
      </w:tr>
      <w:tr w:rsidR="00D95265" w:rsidRPr="00505E78" w14:paraId="3331ED9A" w14:textId="77777777" w:rsidTr="003D6DE6">
        <w:tc>
          <w:tcPr>
            <w:tcW w:w="1558" w:type="dxa"/>
            <w:vMerge/>
          </w:tcPr>
          <w:p w14:paraId="3D21BFF3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</w:p>
        </w:tc>
        <w:tc>
          <w:tcPr>
            <w:tcW w:w="3770" w:type="dxa"/>
          </w:tcPr>
          <w:p w14:paraId="2C3BD04C" w14:textId="77777777" w:rsidR="00D95265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Bc. Josef Šmolík</w:t>
            </w:r>
          </w:p>
          <w:p w14:paraId="52CDB25B" w14:textId="6F0B7646" w:rsidR="0012032E" w:rsidRPr="0012032E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Mgr. Martina Procházková</w:t>
            </w:r>
          </w:p>
        </w:tc>
        <w:tc>
          <w:tcPr>
            <w:tcW w:w="2562" w:type="dxa"/>
          </w:tcPr>
          <w:p w14:paraId="3840282C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val="x-none" w:eastAsia="x-none"/>
              </w:rPr>
            </w:pPr>
          </w:p>
        </w:tc>
        <w:tc>
          <w:tcPr>
            <w:tcW w:w="2566" w:type="dxa"/>
          </w:tcPr>
          <w:p w14:paraId="1051F508" w14:textId="45F2F7B1" w:rsidR="00D95265" w:rsidRPr="0012032E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proofErr w:type="gramStart"/>
            <w:r>
              <w:rPr>
                <w:rFonts w:ascii="Calibri" w:hAnsi="Calibri" w:cs="Calibri"/>
                <w:bCs/>
                <w:kern w:val="32"/>
                <w:lang w:eastAsia="x-none"/>
              </w:rPr>
              <w:t>31.3.2025</w:t>
            </w:r>
            <w:proofErr w:type="gramEnd"/>
          </w:p>
        </w:tc>
      </w:tr>
      <w:tr w:rsidR="00D95265" w:rsidRPr="00505E78" w14:paraId="083ED3F8" w14:textId="77777777" w:rsidTr="003D6DE6">
        <w:tc>
          <w:tcPr>
            <w:tcW w:w="1558" w:type="dxa"/>
          </w:tcPr>
          <w:p w14:paraId="1D75018B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Schválil</w:t>
            </w:r>
          </w:p>
        </w:tc>
        <w:tc>
          <w:tcPr>
            <w:tcW w:w="3770" w:type="dxa"/>
          </w:tcPr>
          <w:p w14:paraId="2CC8E7BF" w14:textId="3F7800DF" w:rsidR="00D95265" w:rsidRPr="0012032E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Blanka Vopařilová</w:t>
            </w:r>
          </w:p>
        </w:tc>
        <w:tc>
          <w:tcPr>
            <w:tcW w:w="2562" w:type="dxa"/>
          </w:tcPr>
          <w:p w14:paraId="326F5158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val="x-none" w:eastAsia="x-none"/>
              </w:rPr>
            </w:pPr>
          </w:p>
        </w:tc>
        <w:tc>
          <w:tcPr>
            <w:tcW w:w="2566" w:type="dxa"/>
          </w:tcPr>
          <w:p w14:paraId="73907754" w14:textId="2EDC635C" w:rsidR="00D95265" w:rsidRPr="0012032E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proofErr w:type="gramStart"/>
            <w:r>
              <w:rPr>
                <w:rFonts w:ascii="Calibri" w:hAnsi="Calibri" w:cs="Calibri"/>
                <w:bCs/>
                <w:kern w:val="32"/>
                <w:lang w:eastAsia="x-none"/>
              </w:rPr>
              <w:t>1.4.2025</w:t>
            </w:r>
            <w:proofErr w:type="gramEnd"/>
          </w:p>
        </w:tc>
      </w:tr>
      <w:tr w:rsidR="00D95265" w:rsidRPr="00505E78" w14:paraId="5F1EE42A" w14:textId="77777777" w:rsidTr="003D6DE6">
        <w:tc>
          <w:tcPr>
            <w:tcW w:w="1558" w:type="dxa"/>
          </w:tcPr>
          <w:p w14:paraId="6D568DB5" w14:textId="77777777" w:rsidR="00D95265" w:rsidRPr="00505E78" w:rsidRDefault="00D95265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Platnost </w:t>
            </w:r>
            <w:proofErr w:type="gramStart"/>
            <w:r>
              <w:rPr>
                <w:rFonts w:ascii="Calibri" w:hAnsi="Calibri" w:cs="Calibri"/>
                <w:bCs/>
                <w:kern w:val="32"/>
                <w:lang w:eastAsia="x-none"/>
              </w:rPr>
              <w:t>od</w:t>
            </w:r>
            <w:proofErr w:type="gramEnd"/>
            <w:r>
              <w:rPr>
                <w:rFonts w:ascii="Calibri" w:hAnsi="Calibri" w:cs="Calibri"/>
                <w:bCs/>
                <w:kern w:val="32"/>
                <w:lang w:eastAsia="x-none"/>
              </w:rPr>
              <w:t>:</w:t>
            </w:r>
          </w:p>
        </w:tc>
        <w:tc>
          <w:tcPr>
            <w:tcW w:w="8898" w:type="dxa"/>
            <w:gridSpan w:val="3"/>
          </w:tcPr>
          <w:p w14:paraId="2C8756EF" w14:textId="7FF235A8" w:rsidR="00D95265" w:rsidRPr="0012032E" w:rsidRDefault="0012032E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proofErr w:type="gramStart"/>
            <w:r>
              <w:rPr>
                <w:rFonts w:ascii="Calibri" w:hAnsi="Calibri" w:cs="Calibri"/>
                <w:bCs/>
                <w:kern w:val="32"/>
                <w:lang w:eastAsia="x-none"/>
              </w:rPr>
              <w:t>1.4.2025</w:t>
            </w:r>
            <w:proofErr w:type="gramEnd"/>
          </w:p>
        </w:tc>
      </w:tr>
      <w:tr w:rsidR="00C81A98" w:rsidRPr="00505E78" w14:paraId="3EA0B3B0" w14:textId="77777777" w:rsidTr="003D6DE6">
        <w:tc>
          <w:tcPr>
            <w:tcW w:w="1558" w:type="dxa"/>
          </w:tcPr>
          <w:p w14:paraId="5C9112D1" w14:textId="52DB9913" w:rsidR="00C81A98" w:rsidRDefault="00C81A98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D97E7B">
              <w:rPr>
                <w:rFonts w:ascii="Calibri" w:hAnsi="Calibri" w:cs="Calibri"/>
                <w:bCs/>
                <w:kern w:val="32"/>
                <w:lang w:eastAsia="x-none"/>
              </w:rPr>
              <w:t>Přílohy</w:t>
            </w: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 </w:t>
            </w:r>
          </w:p>
        </w:tc>
        <w:tc>
          <w:tcPr>
            <w:tcW w:w="8898" w:type="dxa"/>
            <w:gridSpan w:val="3"/>
          </w:tcPr>
          <w:p w14:paraId="245C8BAE" w14:textId="3A07A43A" w:rsidR="00C81A98" w:rsidRDefault="00D97E7B" w:rsidP="003D6DE6">
            <w:pPr>
              <w:spacing w:line="276" w:lineRule="auto"/>
              <w:rPr>
                <w:rFonts w:ascii="Calibri" w:hAnsi="Calibri" w:cs="Calibri"/>
              </w:rPr>
            </w:pPr>
            <w:r w:rsidRPr="00D97E7B">
              <w:rPr>
                <w:rFonts w:ascii="Calibri" w:hAnsi="Calibri" w:cs="Calibri"/>
              </w:rPr>
              <w:t xml:space="preserve">S7 PS Příloha č. 1 – </w:t>
            </w:r>
            <w:r w:rsidR="005B7C67">
              <w:rPr>
                <w:rFonts w:ascii="Calibri" w:hAnsi="Calibri" w:cs="Calibri"/>
              </w:rPr>
              <w:t>Alternativní komunikace k oblasti</w:t>
            </w:r>
            <w:r w:rsidR="005B7C67" w:rsidRPr="00D97E7B">
              <w:rPr>
                <w:rFonts w:ascii="Calibri" w:hAnsi="Calibri" w:cs="Calibri"/>
              </w:rPr>
              <w:t xml:space="preserve"> stížnosti</w:t>
            </w:r>
          </w:p>
          <w:p w14:paraId="448BB4B7" w14:textId="0D674E28" w:rsidR="005B7C67" w:rsidRPr="00505E78" w:rsidRDefault="005B7C67" w:rsidP="003D6DE6">
            <w:pPr>
              <w:spacing w:line="276" w:lineRule="auto"/>
              <w:rPr>
                <w:rFonts w:ascii="Calibri" w:hAnsi="Calibri" w:cs="Calibri"/>
                <w:bCs/>
                <w:kern w:val="32"/>
                <w:lang w:val="x-none" w:eastAsia="x-none"/>
              </w:rPr>
            </w:pPr>
            <w:r w:rsidRPr="00D97E7B">
              <w:rPr>
                <w:rFonts w:ascii="Calibri" w:hAnsi="Calibri" w:cs="Calibri"/>
              </w:rPr>
              <w:t xml:space="preserve">S7 PS </w:t>
            </w:r>
            <w:r>
              <w:rPr>
                <w:rFonts w:ascii="Calibri" w:hAnsi="Calibri" w:cs="Calibri"/>
              </w:rPr>
              <w:t>Příloha č. 2</w:t>
            </w:r>
            <w:r w:rsidRPr="00D97E7B">
              <w:rPr>
                <w:rFonts w:ascii="Calibri" w:hAnsi="Calibri" w:cs="Calibri"/>
              </w:rPr>
              <w:t xml:space="preserve"> – Tiskopis řešení stížnosti</w:t>
            </w:r>
          </w:p>
        </w:tc>
      </w:tr>
      <w:tr w:rsidR="00D95265" w:rsidRPr="00134D91" w14:paraId="756A8400" w14:textId="77777777" w:rsidTr="003D6DE6">
        <w:tc>
          <w:tcPr>
            <w:tcW w:w="1558" w:type="dxa"/>
          </w:tcPr>
          <w:p w14:paraId="3F241B31" w14:textId="77777777" w:rsidR="00D95265" w:rsidRPr="00505E78" w:rsidRDefault="00D95265" w:rsidP="003D6DE6">
            <w:pPr>
              <w:rPr>
                <w:rFonts w:ascii="Calibri" w:hAnsi="Calibri" w:cs="Calibri"/>
                <w:bCs/>
                <w:kern w:val="32"/>
              </w:rPr>
            </w:pPr>
            <w:r w:rsidRPr="00505E78">
              <w:rPr>
                <w:rFonts w:ascii="Calibri" w:hAnsi="Calibri" w:cs="Calibri"/>
              </w:rPr>
              <w:t>Rozsah platnosti a odpovědnosti</w:t>
            </w:r>
          </w:p>
        </w:tc>
        <w:tc>
          <w:tcPr>
            <w:tcW w:w="8898" w:type="dxa"/>
            <w:gridSpan w:val="3"/>
          </w:tcPr>
          <w:p w14:paraId="6733EAE9" w14:textId="2FB9787C" w:rsidR="00D95265" w:rsidRPr="00F74448" w:rsidRDefault="00D95265" w:rsidP="003448AD">
            <w:pPr>
              <w:jc w:val="both"/>
              <w:rPr>
                <w:rFonts w:ascii="Calibri" w:hAnsi="Calibri" w:cs="Calibri"/>
              </w:rPr>
            </w:pPr>
            <w:r w:rsidRPr="00F74448">
              <w:rPr>
                <w:rFonts w:ascii="Calibri" w:hAnsi="Calibri" w:cs="Calibri"/>
              </w:rPr>
              <w:t xml:space="preserve">Tento metodický pokyn, je platný pro všechny pracovníky pečovatelské služby (dále jen </w:t>
            </w:r>
            <w:r w:rsidR="003448AD">
              <w:rPr>
                <w:rFonts w:ascii="Calibri" w:hAnsi="Calibri" w:cs="Calibri"/>
              </w:rPr>
              <w:t xml:space="preserve">„pracovník </w:t>
            </w:r>
            <w:r w:rsidRPr="00F74448">
              <w:rPr>
                <w:rFonts w:ascii="Calibri" w:hAnsi="Calibri" w:cs="Calibri"/>
              </w:rPr>
              <w:t>PS</w:t>
            </w:r>
            <w:r w:rsidR="00AB296C">
              <w:rPr>
                <w:rFonts w:ascii="Calibri" w:hAnsi="Calibri" w:cs="Calibri"/>
              </w:rPr>
              <w:t>“</w:t>
            </w:r>
            <w:r w:rsidRPr="00F74448">
              <w:rPr>
                <w:rFonts w:ascii="Calibri" w:hAnsi="Calibri" w:cs="Calibri"/>
              </w:rPr>
              <w:t xml:space="preserve">), Oblastní charity Nové Hrady u Skutče (dále jen </w:t>
            </w:r>
            <w:r w:rsidR="00AB296C">
              <w:rPr>
                <w:rFonts w:ascii="Calibri" w:hAnsi="Calibri" w:cs="Calibri"/>
              </w:rPr>
              <w:t>„</w:t>
            </w:r>
            <w:r w:rsidR="00D836E6">
              <w:rPr>
                <w:rFonts w:ascii="Calibri" w:hAnsi="Calibri" w:cs="Calibri"/>
              </w:rPr>
              <w:t>poskytovatel</w:t>
            </w:r>
            <w:r w:rsidR="00AB296C">
              <w:rPr>
                <w:rFonts w:ascii="Calibri" w:hAnsi="Calibri" w:cs="Calibri"/>
              </w:rPr>
              <w:t>“</w:t>
            </w:r>
            <w:r w:rsidRPr="00F74448">
              <w:rPr>
                <w:rFonts w:ascii="Calibri" w:hAnsi="Calibri" w:cs="Calibri"/>
              </w:rPr>
              <w:t>).</w:t>
            </w:r>
          </w:p>
          <w:p w14:paraId="4DC7CAC1" w14:textId="37E034BA" w:rsidR="00D95265" w:rsidRPr="00F74448" w:rsidRDefault="00D95265" w:rsidP="003448AD">
            <w:pPr>
              <w:jc w:val="both"/>
              <w:rPr>
                <w:rFonts w:ascii="Calibri" w:hAnsi="Calibri" w:cs="Calibri"/>
              </w:rPr>
            </w:pPr>
            <w:r w:rsidRPr="00F74448">
              <w:rPr>
                <w:rFonts w:ascii="Calibri" w:hAnsi="Calibri" w:cs="Calibri"/>
              </w:rPr>
              <w:t xml:space="preserve">Vedoucí </w:t>
            </w:r>
            <w:r w:rsidR="00470421">
              <w:rPr>
                <w:rFonts w:ascii="Calibri" w:hAnsi="Calibri" w:cs="Calibri"/>
              </w:rPr>
              <w:t xml:space="preserve">pečovatelské služby (dále jen „vedoucí </w:t>
            </w:r>
            <w:r w:rsidRPr="00F74448">
              <w:rPr>
                <w:rFonts w:ascii="Calibri" w:hAnsi="Calibri" w:cs="Calibri"/>
              </w:rPr>
              <w:t>P</w:t>
            </w:r>
            <w:r w:rsidR="00470421">
              <w:rPr>
                <w:rFonts w:ascii="Calibri" w:hAnsi="Calibri" w:cs="Calibri"/>
              </w:rPr>
              <w:t>S“)</w:t>
            </w:r>
            <w:r w:rsidRPr="00F74448">
              <w:rPr>
                <w:rFonts w:ascii="Calibri" w:hAnsi="Calibri" w:cs="Calibri"/>
              </w:rPr>
              <w:t>, zodpovídá za aktualizaci metodického pokynu a je povinen seznámit pracovníky</w:t>
            </w:r>
            <w:r w:rsidR="003448AD">
              <w:rPr>
                <w:rFonts w:ascii="Calibri" w:hAnsi="Calibri" w:cs="Calibri"/>
              </w:rPr>
              <w:t xml:space="preserve"> PS</w:t>
            </w:r>
            <w:r w:rsidRPr="00F74448">
              <w:rPr>
                <w:rFonts w:ascii="Calibri" w:hAnsi="Calibri" w:cs="Calibri"/>
              </w:rPr>
              <w:t xml:space="preserve"> s obsahem </w:t>
            </w:r>
            <w:r>
              <w:rPr>
                <w:rFonts w:ascii="Calibri" w:hAnsi="Calibri" w:cs="Calibri"/>
              </w:rPr>
              <w:t>metodického pokynu</w:t>
            </w:r>
            <w:r w:rsidR="00BF1219">
              <w:rPr>
                <w:rFonts w:ascii="Calibri" w:hAnsi="Calibri" w:cs="Calibri"/>
              </w:rPr>
              <w:t xml:space="preserve"> a dbát na jeho</w:t>
            </w:r>
            <w:r w:rsidRPr="00F74448">
              <w:rPr>
                <w:rFonts w:ascii="Calibri" w:hAnsi="Calibri" w:cs="Calibri"/>
              </w:rPr>
              <w:t xml:space="preserve"> dodržování.</w:t>
            </w:r>
          </w:p>
          <w:p w14:paraId="04BA2D5A" w14:textId="5C81BB3B" w:rsidR="00D95265" w:rsidRPr="00134D91" w:rsidRDefault="00D95265" w:rsidP="003448AD">
            <w:pPr>
              <w:jc w:val="both"/>
              <w:rPr>
                <w:rFonts w:asciiTheme="minorHAnsi" w:hAnsiTheme="minorHAnsi" w:cstheme="minorHAnsi"/>
              </w:rPr>
            </w:pPr>
            <w:r w:rsidRPr="00F74448">
              <w:rPr>
                <w:rFonts w:ascii="Calibri" w:hAnsi="Calibri" w:cs="Calibri"/>
              </w:rPr>
              <w:t>Pracovníci PS</w:t>
            </w:r>
            <w:r w:rsidR="003448AD">
              <w:rPr>
                <w:rFonts w:ascii="Calibri" w:hAnsi="Calibri" w:cs="Calibri"/>
              </w:rPr>
              <w:t xml:space="preserve"> </w:t>
            </w:r>
            <w:r w:rsidRPr="00F74448">
              <w:rPr>
                <w:rFonts w:ascii="Calibri" w:hAnsi="Calibri" w:cs="Calibri"/>
              </w:rPr>
              <w:t xml:space="preserve">předložený </w:t>
            </w:r>
            <w:r>
              <w:rPr>
                <w:rFonts w:ascii="Calibri" w:hAnsi="Calibri" w:cs="Calibri"/>
              </w:rPr>
              <w:t xml:space="preserve">metodický pokyn </w:t>
            </w:r>
            <w:r w:rsidR="003448AD">
              <w:rPr>
                <w:rFonts w:ascii="Calibri" w:hAnsi="Calibri" w:cs="Calibri"/>
              </w:rPr>
              <w:t xml:space="preserve">respektují </w:t>
            </w:r>
            <w:r>
              <w:rPr>
                <w:rFonts w:ascii="Calibri" w:hAnsi="Calibri" w:cs="Calibri"/>
              </w:rPr>
              <w:t>a</w:t>
            </w:r>
            <w:r w:rsidRPr="00F74448">
              <w:rPr>
                <w:rFonts w:ascii="Calibri" w:hAnsi="Calibri" w:cs="Calibri"/>
              </w:rPr>
              <w:t xml:space="preserve"> pracují podle jeho ustanovení</w:t>
            </w:r>
            <w:r w:rsidRPr="00837CE1">
              <w:rPr>
                <w:rFonts w:ascii="Calibri" w:hAnsi="Calibri" w:cs="Calibri"/>
              </w:rPr>
              <w:t>.</w:t>
            </w:r>
          </w:p>
        </w:tc>
      </w:tr>
      <w:tr w:rsidR="00466CF5" w:rsidRPr="00134D91" w14:paraId="4330392F" w14:textId="77777777" w:rsidTr="00466CF5">
        <w:trPr>
          <w:trHeight w:val="168"/>
        </w:trPr>
        <w:tc>
          <w:tcPr>
            <w:tcW w:w="10456" w:type="dxa"/>
            <w:gridSpan w:val="4"/>
          </w:tcPr>
          <w:p w14:paraId="1A9437DF" w14:textId="78CF20AD" w:rsidR="00466CF5" w:rsidRPr="00F74448" w:rsidRDefault="00466CF5" w:rsidP="003448A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734BDE6" w14:textId="77777777" w:rsidR="007715F2" w:rsidRDefault="007715F2" w:rsidP="002331CE">
      <w:pPr>
        <w:spacing w:line="276" w:lineRule="auto"/>
        <w:jc w:val="both"/>
        <w:rPr>
          <w:rFonts w:ascii="Calibri" w:hAnsi="Calibri" w:cs="Calibri"/>
        </w:rPr>
      </w:pPr>
    </w:p>
    <w:p w14:paraId="2159C5ED" w14:textId="1A7BC77F" w:rsidR="00F404BD" w:rsidRDefault="00466CF5" w:rsidP="001C47DD">
      <w:pPr>
        <w:spacing w:line="276" w:lineRule="auto"/>
        <w:jc w:val="both"/>
        <w:rPr>
          <w:rFonts w:ascii="Calibri" w:hAnsi="Calibri" w:cs="Calibri"/>
        </w:rPr>
      </w:pPr>
      <w:r w:rsidRPr="00466CF5">
        <w:rPr>
          <w:rFonts w:ascii="Calibri" w:hAnsi="Calibri" w:cs="Calibri"/>
        </w:rPr>
        <w:t>Účelem tohoto</w:t>
      </w:r>
      <w:r w:rsidR="001C47DD">
        <w:rPr>
          <w:rFonts w:ascii="Calibri" w:hAnsi="Calibri" w:cs="Calibri"/>
        </w:rPr>
        <w:t xml:space="preserve"> metodického pokynu je stanovit</w:t>
      </w:r>
      <w:r w:rsidR="007715F2">
        <w:rPr>
          <w:rFonts w:ascii="Calibri" w:hAnsi="Calibri" w:cs="Calibri"/>
        </w:rPr>
        <w:t xml:space="preserve"> </w:t>
      </w:r>
      <w:r w:rsidRPr="00466CF5">
        <w:rPr>
          <w:rFonts w:ascii="Calibri" w:hAnsi="Calibri" w:cs="Calibri"/>
        </w:rPr>
        <w:t xml:space="preserve">postup pro podávání a </w:t>
      </w:r>
      <w:r w:rsidR="000215A8">
        <w:rPr>
          <w:rFonts w:ascii="Calibri" w:hAnsi="Calibri" w:cs="Calibri"/>
        </w:rPr>
        <w:t xml:space="preserve">řešení stížností/podnětů </w:t>
      </w:r>
      <w:r w:rsidRPr="00466CF5">
        <w:rPr>
          <w:rFonts w:ascii="Calibri" w:hAnsi="Calibri" w:cs="Calibri"/>
        </w:rPr>
        <w:t>podaných</w:t>
      </w:r>
      <w:r>
        <w:rPr>
          <w:rFonts w:ascii="Calibri" w:hAnsi="Calibri" w:cs="Calibri"/>
        </w:rPr>
        <w:t xml:space="preserve"> uživatelem služby, nebo jinou osobou (stěžovatelem) na kvalitu nebo způsob poskytování pečovatelské služby. </w:t>
      </w:r>
    </w:p>
    <w:p w14:paraId="4AD546B3" w14:textId="7FD8DE9F" w:rsidR="00433F21" w:rsidRDefault="00433F21" w:rsidP="001C47DD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Poskytovatel vnímá jako zpětnou vazbu, díky níž může zkvalitňovat své služby, zda způsob poskytování služby není třeba zlepšovat, nebo změnit.</w:t>
      </w:r>
    </w:p>
    <w:p w14:paraId="3DE18235" w14:textId="4EB9ABD6" w:rsidR="00433F21" w:rsidRDefault="00433F21" w:rsidP="002331C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Možnost podat stížnost</w:t>
      </w:r>
      <w:r w:rsidR="000215A8">
        <w:rPr>
          <w:rFonts w:ascii="Calibri" w:hAnsi="Calibri" w:cs="Calibri"/>
        </w:rPr>
        <w:t>/podnět</w:t>
      </w:r>
      <w:r>
        <w:rPr>
          <w:rFonts w:ascii="Calibri" w:hAnsi="Calibri" w:cs="Calibri"/>
        </w:rPr>
        <w:t xml:space="preserve"> pře</w:t>
      </w:r>
      <w:r w:rsidR="001C47DD">
        <w:rPr>
          <w:rFonts w:ascii="Calibri" w:hAnsi="Calibri" w:cs="Calibri"/>
        </w:rPr>
        <w:t>dstavuje významný nástroj</w:t>
      </w:r>
      <w:r>
        <w:rPr>
          <w:rFonts w:ascii="Calibri" w:hAnsi="Calibri" w:cs="Calibri"/>
        </w:rPr>
        <w:t xml:space="preserve"> ochrany práv uživatelů sociálních služeb.</w:t>
      </w:r>
    </w:p>
    <w:p w14:paraId="4B5810E2" w14:textId="050328D7" w:rsidR="00433F21" w:rsidRDefault="00433F21" w:rsidP="00466CF5">
      <w:pPr>
        <w:spacing w:line="276" w:lineRule="auto"/>
        <w:rPr>
          <w:rFonts w:asciiTheme="minorHAnsi" w:hAnsiTheme="minorHAnsi" w:cstheme="minorHAnsi"/>
        </w:rPr>
      </w:pPr>
    </w:p>
    <w:p w14:paraId="65427873" w14:textId="685FFB86" w:rsidR="00433F21" w:rsidRPr="00E51E0F" w:rsidRDefault="00433F21" w:rsidP="00466CF5">
      <w:pPr>
        <w:spacing w:line="276" w:lineRule="auto"/>
        <w:rPr>
          <w:rFonts w:asciiTheme="minorHAnsi" w:hAnsiTheme="minorHAnsi" w:cstheme="minorHAnsi"/>
          <w:b/>
        </w:rPr>
      </w:pPr>
      <w:r w:rsidRPr="00E51E0F">
        <w:rPr>
          <w:rFonts w:asciiTheme="minorHAnsi" w:hAnsiTheme="minorHAnsi" w:cstheme="minorHAnsi"/>
          <w:b/>
        </w:rPr>
        <w:t>Základní pojmy:</w:t>
      </w:r>
    </w:p>
    <w:p w14:paraId="07780949" w14:textId="01A5D431" w:rsidR="00877A34" w:rsidRPr="001C47DD" w:rsidRDefault="00877A34" w:rsidP="00E51E0F">
      <w:pPr>
        <w:pStyle w:val="Odstavecseseznamem"/>
        <w:suppressAutoHyphens/>
        <w:ind w:left="284"/>
        <w:contextualSpacing w:val="0"/>
        <w:jc w:val="both"/>
        <w:rPr>
          <w:rFonts w:cs="Arial"/>
          <w:b/>
        </w:rPr>
      </w:pPr>
      <w:bookmarkStart w:id="0" w:name="_Toc64969426"/>
      <w:bookmarkStart w:id="1" w:name="_Toc64969487"/>
      <w:bookmarkStart w:id="2" w:name="_Toc64969551"/>
      <w:bookmarkStart w:id="3" w:name="_Toc64969606"/>
      <w:bookmarkStart w:id="4" w:name="_Toc64972455"/>
      <w:bookmarkStart w:id="5" w:name="_Toc64974485"/>
      <w:bookmarkStart w:id="6" w:name="_Toc64974542"/>
      <w:bookmarkStart w:id="7" w:name="_Toc64974598"/>
      <w:bookmarkStart w:id="8" w:name="_Toc64974654"/>
      <w:bookmarkStart w:id="9" w:name="_Toc64974916"/>
      <w:bookmarkStart w:id="10" w:name="_Toc65760839"/>
      <w:bookmarkStart w:id="11" w:name="_Toc65824103"/>
      <w:bookmarkStart w:id="12" w:name="_Toc65824165"/>
      <w:bookmarkStart w:id="13" w:name="_Toc65827353"/>
      <w:bookmarkStart w:id="14" w:name="_Toc65827409"/>
      <w:bookmarkStart w:id="15" w:name="_Toc65827465"/>
      <w:bookmarkStart w:id="16" w:name="_Toc65827521"/>
      <w:bookmarkStart w:id="17" w:name="_Toc65827701"/>
      <w:bookmarkStart w:id="18" w:name="_Toc65827757"/>
      <w:bookmarkStart w:id="19" w:name="_Toc64969427"/>
      <w:bookmarkStart w:id="20" w:name="_Toc64969488"/>
      <w:bookmarkStart w:id="21" w:name="_Toc64969552"/>
      <w:bookmarkStart w:id="22" w:name="_Toc64969607"/>
      <w:bookmarkStart w:id="23" w:name="_Toc64972456"/>
      <w:bookmarkStart w:id="24" w:name="_Toc64974486"/>
      <w:bookmarkStart w:id="25" w:name="_Toc64974543"/>
      <w:bookmarkStart w:id="26" w:name="_Toc64974599"/>
      <w:bookmarkStart w:id="27" w:name="_Toc64974655"/>
      <w:bookmarkStart w:id="28" w:name="_Toc64974917"/>
      <w:bookmarkStart w:id="29" w:name="_Toc65760840"/>
      <w:bookmarkStart w:id="30" w:name="_Toc65824104"/>
      <w:bookmarkStart w:id="31" w:name="_Toc65824166"/>
      <w:bookmarkStart w:id="32" w:name="_Toc65827354"/>
      <w:bookmarkStart w:id="33" w:name="_Toc65827410"/>
      <w:bookmarkStart w:id="34" w:name="_Toc65827466"/>
      <w:bookmarkStart w:id="35" w:name="_Toc65827522"/>
      <w:bookmarkStart w:id="36" w:name="_Toc65827702"/>
      <w:bookmarkStart w:id="37" w:name="_Toc65827758"/>
      <w:bookmarkStart w:id="38" w:name="_Toc64969429"/>
      <w:bookmarkStart w:id="39" w:name="_Toc64969490"/>
      <w:bookmarkStart w:id="40" w:name="_Toc64969554"/>
      <w:bookmarkStart w:id="41" w:name="_Toc64969609"/>
      <w:bookmarkStart w:id="42" w:name="_Toc64972458"/>
      <w:bookmarkStart w:id="43" w:name="_Toc64974488"/>
      <w:bookmarkStart w:id="44" w:name="_Toc64974545"/>
      <w:bookmarkStart w:id="45" w:name="_Toc64974601"/>
      <w:bookmarkStart w:id="46" w:name="_Toc64974657"/>
      <w:bookmarkStart w:id="47" w:name="_Toc64974919"/>
      <w:bookmarkStart w:id="48" w:name="_Toc65760842"/>
      <w:bookmarkStart w:id="49" w:name="_Toc65824106"/>
      <w:bookmarkStart w:id="50" w:name="_Toc65824168"/>
      <w:bookmarkStart w:id="51" w:name="_Toc65827356"/>
      <w:bookmarkStart w:id="52" w:name="_Toc65827412"/>
      <w:bookmarkStart w:id="53" w:name="_Toc65827468"/>
      <w:bookmarkStart w:id="54" w:name="_Toc65827524"/>
      <w:bookmarkStart w:id="55" w:name="_Toc65827704"/>
      <w:bookmarkStart w:id="56" w:name="_Toc65827760"/>
      <w:bookmarkStart w:id="57" w:name="_Toc64969430"/>
      <w:bookmarkStart w:id="58" w:name="_Toc64969491"/>
      <w:bookmarkStart w:id="59" w:name="_Toc64969555"/>
      <w:bookmarkStart w:id="60" w:name="_Toc64969610"/>
      <w:bookmarkStart w:id="61" w:name="_Toc64972459"/>
      <w:bookmarkStart w:id="62" w:name="_Toc64974489"/>
      <w:bookmarkStart w:id="63" w:name="_Toc64974546"/>
      <w:bookmarkStart w:id="64" w:name="_Toc64974602"/>
      <w:bookmarkStart w:id="65" w:name="_Toc64974658"/>
      <w:bookmarkStart w:id="66" w:name="_Toc64974920"/>
      <w:bookmarkStart w:id="67" w:name="_Toc65760843"/>
      <w:bookmarkStart w:id="68" w:name="_Toc65824107"/>
      <w:bookmarkStart w:id="69" w:name="_Toc65824169"/>
      <w:bookmarkStart w:id="70" w:name="_Toc65827357"/>
      <w:bookmarkStart w:id="71" w:name="_Toc65827413"/>
      <w:bookmarkStart w:id="72" w:name="_Toc65827469"/>
      <w:bookmarkStart w:id="73" w:name="_Toc65827525"/>
      <w:bookmarkStart w:id="74" w:name="_Toc65827705"/>
      <w:bookmarkStart w:id="75" w:name="_Toc65827761"/>
      <w:bookmarkStart w:id="76" w:name="_Toc64969431"/>
      <w:bookmarkStart w:id="77" w:name="_Toc64969492"/>
      <w:bookmarkStart w:id="78" w:name="_Toc64969556"/>
      <w:bookmarkStart w:id="79" w:name="_Toc64969611"/>
      <w:bookmarkStart w:id="80" w:name="_Toc64972460"/>
      <w:bookmarkStart w:id="81" w:name="_Toc64974490"/>
      <w:bookmarkStart w:id="82" w:name="_Toc64974547"/>
      <w:bookmarkStart w:id="83" w:name="_Toc64974603"/>
      <w:bookmarkStart w:id="84" w:name="_Toc64974659"/>
      <w:bookmarkStart w:id="85" w:name="_Toc64974921"/>
      <w:bookmarkStart w:id="86" w:name="_Toc65760844"/>
      <w:bookmarkStart w:id="87" w:name="_Toc65824108"/>
      <w:bookmarkStart w:id="88" w:name="_Toc65824170"/>
      <w:bookmarkStart w:id="89" w:name="_Toc65827358"/>
      <w:bookmarkStart w:id="90" w:name="_Toc65827414"/>
      <w:bookmarkStart w:id="91" w:name="_Toc65827470"/>
      <w:bookmarkStart w:id="92" w:name="_Toc65827526"/>
      <w:bookmarkStart w:id="93" w:name="_Toc65827706"/>
      <w:bookmarkStart w:id="94" w:name="_Toc65827762"/>
      <w:bookmarkStart w:id="95" w:name="_Toc64969433"/>
      <w:bookmarkStart w:id="96" w:name="_Toc64969494"/>
      <w:bookmarkStart w:id="97" w:name="_Toc64969558"/>
      <w:bookmarkStart w:id="98" w:name="_Toc64969613"/>
      <w:bookmarkStart w:id="99" w:name="_Toc64972462"/>
      <w:bookmarkStart w:id="100" w:name="_Toc64974492"/>
      <w:bookmarkStart w:id="101" w:name="_Toc64974549"/>
      <w:bookmarkStart w:id="102" w:name="_Toc64974605"/>
      <w:bookmarkStart w:id="103" w:name="_Toc64974661"/>
      <w:bookmarkStart w:id="104" w:name="_Toc64974923"/>
      <w:bookmarkStart w:id="105" w:name="_Toc65760846"/>
      <w:bookmarkStart w:id="106" w:name="_Toc65824110"/>
      <w:bookmarkStart w:id="107" w:name="_Toc65824172"/>
      <w:bookmarkStart w:id="108" w:name="_Toc65827360"/>
      <w:bookmarkStart w:id="109" w:name="_Toc65827416"/>
      <w:bookmarkStart w:id="110" w:name="_Toc65827472"/>
      <w:bookmarkStart w:id="111" w:name="_Toc65827528"/>
      <w:bookmarkStart w:id="112" w:name="_Toc65827708"/>
      <w:bookmarkStart w:id="113" w:name="_Toc65827764"/>
      <w:bookmarkStart w:id="114" w:name="_Toc64969434"/>
      <w:bookmarkStart w:id="115" w:name="_Toc64969495"/>
      <w:bookmarkStart w:id="116" w:name="_Toc64969559"/>
      <w:bookmarkStart w:id="117" w:name="_Toc64969614"/>
      <w:bookmarkStart w:id="118" w:name="_Toc64972463"/>
      <w:bookmarkStart w:id="119" w:name="_Toc64974493"/>
      <w:bookmarkStart w:id="120" w:name="_Toc64974550"/>
      <w:bookmarkStart w:id="121" w:name="_Toc64974606"/>
      <w:bookmarkStart w:id="122" w:name="_Toc64974662"/>
      <w:bookmarkStart w:id="123" w:name="_Toc64974924"/>
      <w:bookmarkStart w:id="124" w:name="_Toc65760847"/>
      <w:bookmarkStart w:id="125" w:name="_Toc65824111"/>
      <w:bookmarkStart w:id="126" w:name="_Toc65824173"/>
      <w:bookmarkStart w:id="127" w:name="_Toc65827361"/>
      <w:bookmarkStart w:id="128" w:name="_Toc65827417"/>
      <w:bookmarkStart w:id="129" w:name="_Toc65827473"/>
      <w:bookmarkStart w:id="130" w:name="_Toc65827529"/>
      <w:bookmarkStart w:id="131" w:name="_Toc65827709"/>
      <w:bookmarkStart w:id="132" w:name="_Toc65827765"/>
      <w:bookmarkStart w:id="133" w:name="_Toc64969435"/>
      <w:bookmarkStart w:id="134" w:name="_Toc64969496"/>
      <w:bookmarkStart w:id="135" w:name="_Toc64969560"/>
      <w:bookmarkStart w:id="136" w:name="_Toc64969615"/>
      <w:bookmarkStart w:id="137" w:name="_Toc64972464"/>
      <w:bookmarkStart w:id="138" w:name="_Toc64974494"/>
      <w:bookmarkStart w:id="139" w:name="_Toc64974551"/>
      <w:bookmarkStart w:id="140" w:name="_Toc64974607"/>
      <w:bookmarkStart w:id="141" w:name="_Toc64974663"/>
      <w:bookmarkStart w:id="142" w:name="_Toc64974925"/>
      <w:bookmarkStart w:id="143" w:name="_Toc65760848"/>
      <w:bookmarkStart w:id="144" w:name="_Toc65824112"/>
      <w:bookmarkStart w:id="145" w:name="_Toc65824174"/>
      <w:bookmarkStart w:id="146" w:name="_Toc65827362"/>
      <w:bookmarkStart w:id="147" w:name="_Toc65827418"/>
      <w:bookmarkStart w:id="148" w:name="_Toc65827474"/>
      <w:bookmarkStart w:id="149" w:name="_Toc65827530"/>
      <w:bookmarkStart w:id="150" w:name="_Toc65827710"/>
      <w:bookmarkStart w:id="151" w:name="_Toc65827766"/>
      <w:bookmarkStart w:id="152" w:name="_Toc64969436"/>
      <w:bookmarkStart w:id="153" w:name="_Toc64969497"/>
      <w:bookmarkStart w:id="154" w:name="_Toc64969561"/>
      <w:bookmarkStart w:id="155" w:name="_Toc64969616"/>
      <w:bookmarkStart w:id="156" w:name="_Toc64972465"/>
      <w:bookmarkStart w:id="157" w:name="_Toc64974495"/>
      <w:bookmarkStart w:id="158" w:name="_Toc64974552"/>
      <w:bookmarkStart w:id="159" w:name="_Toc64974608"/>
      <w:bookmarkStart w:id="160" w:name="_Toc64974664"/>
      <w:bookmarkStart w:id="161" w:name="_Toc64974926"/>
      <w:bookmarkStart w:id="162" w:name="_Toc65760849"/>
      <w:bookmarkStart w:id="163" w:name="_Toc65824113"/>
      <w:bookmarkStart w:id="164" w:name="_Toc65824175"/>
      <w:bookmarkStart w:id="165" w:name="_Toc65827363"/>
      <w:bookmarkStart w:id="166" w:name="_Toc65827419"/>
      <w:bookmarkStart w:id="167" w:name="_Toc65827475"/>
      <w:bookmarkStart w:id="168" w:name="_Toc65827531"/>
      <w:bookmarkStart w:id="169" w:name="_Toc65827711"/>
      <w:bookmarkStart w:id="170" w:name="_Toc65827767"/>
      <w:bookmarkStart w:id="171" w:name="_Toc64972467"/>
      <w:bookmarkStart w:id="172" w:name="_Toc64974497"/>
      <w:bookmarkStart w:id="173" w:name="_Toc64974554"/>
      <w:bookmarkStart w:id="174" w:name="_Toc64974610"/>
      <w:bookmarkStart w:id="175" w:name="_Toc64974666"/>
      <w:bookmarkStart w:id="176" w:name="_Toc64974928"/>
      <w:bookmarkStart w:id="177" w:name="_Toc65760851"/>
      <w:bookmarkStart w:id="178" w:name="_Toc65824115"/>
      <w:bookmarkStart w:id="179" w:name="_Toc65824177"/>
      <w:bookmarkStart w:id="180" w:name="_Toc65827365"/>
      <w:bookmarkStart w:id="181" w:name="_Toc65827421"/>
      <w:bookmarkStart w:id="182" w:name="_Toc65827477"/>
      <w:bookmarkStart w:id="183" w:name="_Toc65827533"/>
      <w:bookmarkStart w:id="184" w:name="_Toc65827713"/>
      <w:bookmarkStart w:id="185" w:name="_Toc65827769"/>
      <w:bookmarkStart w:id="186" w:name="_Toc64972468"/>
      <w:bookmarkStart w:id="187" w:name="_Toc64974498"/>
      <w:bookmarkStart w:id="188" w:name="_Toc64974555"/>
      <w:bookmarkStart w:id="189" w:name="_Toc64974611"/>
      <w:bookmarkStart w:id="190" w:name="_Toc64974667"/>
      <w:bookmarkStart w:id="191" w:name="_Toc64974929"/>
      <w:bookmarkStart w:id="192" w:name="_Toc65760852"/>
      <w:bookmarkStart w:id="193" w:name="_Toc65824116"/>
      <w:bookmarkStart w:id="194" w:name="_Toc65824178"/>
      <w:bookmarkStart w:id="195" w:name="_Toc65827366"/>
      <w:bookmarkStart w:id="196" w:name="_Toc65827422"/>
      <w:bookmarkStart w:id="197" w:name="_Toc65827478"/>
      <w:bookmarkStart w:id="198" w:name="_Toc65827534"/>
      <w:bookmarkStart w:id="199" w:name="_Toc65827714"/>
      <w:bookmarkStart w:id="200" w:name="_Toc65827770"/>
      <w:bookmarkStart w:id="201" w:name="_Toc64972469"/>
      <w:bookmarkStart w:id="202" w:name="_Toc64974499"/>
      <w:bookmarkStart w:id="203" w:name="_Toc64974556"/>
      <w:bookmarkStart w:id="204" w:name="_Toc64974612"/>
      <w:bookmarkStart w:id="205" w:name="_Toc64974668"/>
      <w:bookmarkStart w:id="206" w:name="_Toc64974930"/>
      <w:bookmarkStart w:id="207" w:name="_Toc65760853"/>
      <w:bookmarkStart w:id="208" w:name="_Toc65824117"/>
      <w:bookmarkStart w:id="209" w:name="_Toc65824179"/>
      <w:bookmarkStart w:id="210" w:name="_Toc65827367"/>
      <w:bookmarkStart w:id="211" w:name="_Toc65827423"/>
      <w:bookmarkStart w:id="212" w:name="_Toc65827479"/>
      <w:bookmarkStart w:id="213" w:name="_Toc65827535"/>
      <w:bookmarkStart w:id="214" w:name="_Toc65827715"/>
      <w:bookmarkStart w:id="215" w:name="_Toc65827771"/>
      <w:bookmarkStart w:id="216" w:name="_Toc64972472"/>
      <w:bookmarkStart w:id="217" w:name="_Toc64974502"/>
      <w:bookmarkStart w:id="218" w:name="_Toc64974559"/>
      <w:bookmarkStart w:id="219" w:name="_Toc64974615"/>
      <w:bookmarkStart w:id="220" w:name="_Toc64974671"/>
      <w:bookmarkStart w:id="221" w:name="_Toc64974933"/>
      <w:bookmarkStart w:id="222" w:name="_Toc65760856"/>
      <w:bookmarkStart w:id="223" w:name="_Toc65824120"/>
      <w:bookmarkStart w:id="224" w:name="_Toc65824182"/>
      <w:bookmarkStart w:id="225" w:name="_Toc65827370"/>
      <w:bookmarkStart w:id="226" w:name="_Toc65827426"/>
      <w:bookmarkStart w:id="227" w:name="_Toc65827482"/>
      <w:bookmarkStart w:id="228" w:name="_Toc65827538"/>
      <w:bookmarkStart w:id="229" w:name="_Toc65827718"/>
      <w:bookmarkStart w:id="230" w:name="_Toc65827774"/>
      <w:bookmarkStart w:id="231" w:name="_Toc64972473"/>
      <w:bookmarkStart w:id="232" w:name="_Toc64974503"/>
      <w:bookmarkStart w:id="233" w:name="_Toc64974560"/>
      <w:bookmarkStart w:id="234" w:name="_Toc64974616"/>
      <w:bookmarkStart w:id="235" w:name="_Toc64974672"/>
      <w:bookmarkStart w:id="236" w:name="_Toc64974934"/>
      <w:bookmarkStart w:id="237" w:name="_Toc65760857"/>
      <w:bookmarkStart w:id="238" w:name="_Toc65824121"/>
      <w:bookmarkStart w:id="239" w:name="_Toc65824183"/>
      <w:bookmarkStart w:id="240" w:name="_Toc65827371"/>
      <w:bookmarkStart w:id="241" w:name="_Toc65827427"/>
      <w:bookmarkStart w:id="242" w:name="_Toc65827483"/>
      <w:bookmarkStart w:id="243" w:name="_Toc65827539"/>
      <w:bookmarkStart w:id="244" w:name="_Toc65827719"/>
      <w:bookmarkStart w:id="245" w:name="_Toc65827775"/>
      <w:bookmarkStart w:id="246" w:name="_Toc64972474"/>
      <w:bookmarkStart w:id="247" w:name="_Toc64974504"/>
      <w:bookmarkStart w:id="248" w:name="_Toc64974561"/>
      <w:bookmarkStart w:id="249" w:name="_Toc64974617"/>
      <w:bookmarkStart w:id="250" w:name="_Toc64974673"/>
      <w:bookmarkStart w:id="251" w:name="_Toc64974935"/>
      <w:bookmarkStart w:id="252" w:name="_Toc65760858"/>
      <w:bookmarkStart w:id="253" w:name="_Toc65824122"/>
      <w:bookmarkStart w:id="254" w:name="_Toc65824184"/>
      <w:bookmarkStart w:id="255" w:name="_Toc65827372"/>
      <w:bookmarkStart w:id="256" w:name="_Toc65827428"/>
      <w:bookmarkStart w:id="257" w:name="_Toc65827484"/>
      <w:bookmarkStart w:id="258" w:name="_Toc65827540"/>
      <w:bookmarkStart w:id="259" w:name="_Toc65827720"/>
      <w:bookmarkStart w:id="260" w:name="_Toc65827776"/>
      <w:bookmarkStart w:id="261" w:name="_Toc64974937"/>
      <w:bookmarkStart w:id="262" w:name="_Toc65827542"/>
      <w:bookmarkStart w:id="263" w:name="_Toc6582777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r w:rsidRPr="001C47DD">
        <w:rPr>
          <w:rFonts w:cs="Arial"/>
          <w:b/>
        </w:rPr>
        <w:t>Stížnost</w:t>
      </w:r>
      <w:r w:rsidRPr="001C47DD">
        <w:rPr>
          <w:rFonts w:cs="Arial"/>
        </w:rPr>
        <w:t xml:space="preserve"> = sdělení, které vyjadřu</w:t>
      </w:r>
      <w:r w:rsidR="001C47DD">
        <w:rPr>
          <w:rFonts w:cs="Arial"/>
        </w:rPr>
        <w:t>je nespokojenost s kvalitou,</w:t>
      </w:r>
      <w:r w:rsidRPr="001C47DD">
        <w:rPr>
          <w:rFonts w:cs="Arial"/>
        </w:rPr>
        <w:t xml:space="preserve"> způsobem poskytování sociální služby</w:t>
      </w:r>
      <w:r w:rsidR="007715F2" w:rsidRPr="001C47DD">
        <w:rPr>
          <w:rFonts w:cs="Arial"/>
        </w:rPr>
        <w:t xml:space="preserve"> nebo upozorňuje na jiné nedostatky</w:t>
      </w:r>
      <w:r w:rsidR="00887C3B" w:rsidRPr="001C47DD">
        <w:rPr>
          <w:rFonts w:cs="Arial"/>
        </w:rPr>
        <w:t xml:space="preserve"> v jednání pracovníků PS. </w:t>
      </w:r>
      <w:r w:rsidR="00207FE0" w:rsidRPr="001C47DD">
        <w:rPr>
          <w:rFonts w:cs="Arial"/>
        </w:rPr>
        <w:t>Jde o vyjádřenou</w:t>
      </w:r>
      <w:r w:rsidR="00887C3B" w:rsidRPr="001C47DD">
        <w:rPr>
          <w:rFonts w:cs="Arial"/>
        </w:rPr>
        <w:t xml:space="preserve"> nespokojenost vyžadující  nápravu</w:t>
      </w:r>
      <w:r w:rsidR="00207FE0" w:rsidRPr="001C47DD">
        <w:rPr>
          <w:rFonts w:cs="Arial"/>
        </w:rPr>
        <w:t>.</w:t>
      </w:r>
      <w:r w:rsidR="00BF34A4" w:rsidRPr="001C47DD">
        <w:rPr>
          <w:rFonts w:cs="Arial"/>
        </w:rPr>
        <w:t xml:space="preserve"> </w:t>
      </w:r>
    </w:p>
    <w:p w14:paraId="5CC68BF4" w14:textId="1E91E84C" w:rsidR="00E51E0F" w:rsidRPr="001C47DD" w:rsidRDefault="00E51E0F" w:rsidP="00E51E0F">
      <w:pPr>
        <w:pStyle w:val="Odstavecseseznamem"/>
        <w:suppressAutoHyphens/>
        <w:ind w:left="284"/>
        <w:contextualSpacing w:val="0"/>
        <w:jc w:val="both"/>
        <w:rPr>
          <w:rFonts w:cs="Arial"/>
        </w:rPr>
      </w:pPr>
      <w:r w:rsidRPr="001C47DD">
        <w:rPr>
          <w:rFonts w:cs="Arial"/>
          <w:b/>
        </w:rPr>
        <w:t xml:space="preserve">Podnět </w:t>
      </w:r>
      <w:r w:rsidRPr="001C47DD">
        <w:rPr>
          <w:rFonts w:cs="Arial"/>
        </w:rPr>
        <w:t>=</w:t>
      </w:r>
      <w:r w:rsidRPr="001C47DD">
        <w:rPr>
          <w:rFonts w:cs="Arial"/>
          <w:b/>
        </w:rPr>
        <w:t xml:space="preserve"> </w:t>
      </w:r>
      <w:r w:rsidRPr="001C47DD">
        <w:rPr>
          <w:rFonts w:cs="Arial"/>
        </w:rPr>
        <w:t>námět či návrh na jakoukoliv změnu, která by mohla vést ke zlepšení poskytovaných služe</w:t>
      </w:r>
      <w:r w:rsidR="005379C8" w:rsidRPr="001C47DD">
        <w:rPr>
          <w:rFonts w:cs="Arial"/>
        </w:rPr>
        <w:t>b.</w:t>
      </w:r>
      <w:r w:rsidR="00BF34A4" w:rsidRPr="001C47DD">
        <w:rPr>
          <w:rFonts w:cs="Arial"/>
        </w:rPr>
        <w:t xml:space="preserve"> Řeší se operativně.</w:t>
      </w:r>
      <w:r w:rsidRPr="001C47DD">
        <w:rPr>
          <w:rFonts w:cs="Arial"/>
        </w:rPr>
        <w:t xml:space="preserve"> </w:t>
      </w:r>
      <w:r w:rsidR="000215A8">
        <w:rPr>
          <w:rFonts w:cs="Arial"/>
        </w:rPr>
        <w:t>Zároveň podnětem rozumíme stížnost, která je podána, ale nesplňuje obsahově náležitosti podané stížnosti (viz. Pravidla podávání stížností).</w:t>
      </w:r>
    </w:p>
    <w:p w14:paraId="1326D65C" w14:textId="1F6BFF50" w:rsidR="00887C3B" w:rsidRPr="00887C3B" w:rsidRDefault="00887C3B" w:rsidP="00887C3B">
      <w:pPr>
        <w:ind w:left="284"/>
        <w:jc w:val="both"/>
        <w:rPr>
          <w:rFonts w:ascii="Calibri" w:hAnsi="Calibri" w:cs="Calibri"/>
          <w:color w:val="000000"/>
        </w:rPr>
      </w:pPr>
      <w:r w:rsidRPr="001C47DD">
        <w:rPr>
          <w:rFonts w:ascii="Calibri" w:hAnsi="Calibri" w:cs="Calibri"/>
          <w:b/>
          <w:color w:val="000000"/>
        </w:rPr>
        <w:t>Předmět stížnosti</w:t>
      </w:r>
      <w:r w:rsidRPr="001C47DD">
        <w:rPr>
          <w:rFonts w:ascii="Calibri" w:hAnsi="Calibri" w:cs="Calibri"/>
          <w:color w:val="000000"/>
        </w:rPr>
        <w:t xml:space="preserve"> je omezen pouze tím, že </w:t>
      </w:r>
      <w:r w:rsidRPr="001C47DD">
        <w:rPr>
          <w:rFonts w:ascii="Calibri" w:hAnsi="Calibri" w:cs="Calibri"/>
          <w:b/>
          <w:color w:val="000000"/>
        </w:rPr>
        <w:t>stížnost se musí týkat výkonu působnosti PS.</w:t>
      </w:r>
      <w:r w:rsidRPr="001C47DD">
        <w:rPr>
          <w:rFonts w:ascii="Calibri" w:hAnsi="Calibri" w:cs="Calibri"/>
          <w:color w:val="000000"/>
        </w:rPr>
        <w:t xml:space="preserve"> Z hlediska postupu při uplatňování stížností je rozhodující, na co, či na koho má být stížnost podána.</w:t>
      </w:r>
    </w:p>
    <w:p w14:paraId="62DA5878" w14:textId="77777777" w:rsidR="00192DB2" w:rsidRPr="00192DB2" w:rsidRDefault="00192DB2" w:rsidP="00E51E0F">
      <w:pPr>
        <w:pStyle w:val="Odstavecseseznamem"/>
        <w:suppressAutoHyphens/>
        <w:ind w:left="284"/>
        <w:contextualSpacing w:val="0"/>
        <w:jc w:val="both"/>
        <w:rPr>
          <w:rFonts w:cs="Arial"/>
          <w:b/>
        </w:rPr>
      </w:pPr>
    </w:p>
    <w:p w14:paraId="4B5D8EAE" w14:textId="1424ACF4" w:rsidR="00192DB2" w:rsidRPr="001C47DD" w:rsidRDefault="001C47DD" w:rsidP="00192DB2">
      <w:pPr>
        <w:jc w:val="both"/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Kdo si může stěžovat:</w:t>
      </w:r>
    </w:p>
    <w:p w14:paraId="773FEF4F" w14:textId="77777777" w:rsidR="00887C3B" w:rsidRPr="001C47DD" w:rsidRDefault="00887C3B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1C47DD">
        <w:rPr>
          <w:rFonts w:ascii="Calibri" w:hAnsi="Calibri" w:cs="Calibri"/>
          <w:color w:val="auto"/>
        </w:rPr>
        <w:t xml:space="preserve">osoba, které je nebo byla poskytována sociální služba (dále jen „uživatel“), </w:t>
      </w:r>
    </w:p>
    <w:p w14:paraId="6ACC90CC" w14:textId="77777777" w:rsidR="00887C3B" w:rsidRPr="001C47DD" w:rsidRDefault="00887C3B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1C47DD">
        <w:rPr>
          <w:rFonts w:ascii="Calibri" w:hAnsi="Calibri" w:cs="Calibri"/>
          <w:color w:val="auto"/>
        </w:rPr>
        <w:t xml:space="preserve">opatrovník nebo podpůrce osoby, které je nebo byla poskytována sociální služba, </w:t>
      </w:r>
      <w:bookmarkStart w:id="264" w:name="_GoBack"/>
      <w:bookmarkEnd w:id="264"/>
    </w:p>
    <w:p w14:paraId="44DBDFEA" w14:textId="51CA0EFA" w:rsidR="00887C3B" w:rsidRPr="001C47DD" w:rsidRDefault="00887C3B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1C47DD">
        <w:rPr>
          <w:rFonts w:ascii="Calibri" w:hAnsi="Calibri" w:cs="Calibri"/>
          <w:color w:val="auto"/>
        </w:rPr>
        <w:t xml:space="preserve">osoba blízká, nemůže-li stížnost podat osoba, které je nebo byla sociální služba poskytována, </w:t>
      </w:r>
      <w:r w:rsidR="001C47DD">
        <w:rPr>
          <w:rFonts w:ascii="Calibri" w:hAnsi="Calibri" w:cs="Calibri"/>
          <w:color w:val="auto"/>
        </w:rPr>
        <w:br/>
      </w:r>
      <w:r w:rsidRPr="001C47DD">
        <w:rPr>
          <w:rFonts w:ascii="Calibri" w:hAnsi="Calibri" w:cs="Calibri"/>
          <w:color w:val="auto"/>
        </w:rPr>
        <w:t xml:space="preserve">s ohledem na svůj zdravotní stav nebo proto, že zemřela, </w:t>
      </w:r>
    </w:p>
    <w:p w14:paraId="4229ECF3" w14:textId="77777777" w:rsidR="00887C3B" w:rsidRPr="001C47DD" w:rsidRDefault="00887C3B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1C47DD">
        <w:rPr>
          <w:rFonts w:ascii="Calibri" w:hAnsi="Calibri" w:cs="Calibri"/>
          <w:color w:val="auto"/>
        </w:rPr>
        <w:t xml:space="preserve">osoba zmocněná osobou, které je nebo byla poskytována sociální služba, </w:t>
      </w:r>
    </w:p>
    <w:p w14:paraId="5D73F10E" w14:textId="34624476" w:rsidR="00887C3B" w:rsidRPr="001C47DD" w:rsidRDefault="00887C3B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1C47DD">
        <w:rPr>
          <w:rFonts w:ascii="Calibri" w:hAnsi="Calibri" w:cs="Calibri"/>
          <w:color w:val="auto"/>
        </w:rPr>
        <w:lastRenderedPageBreak/>
        <w:t xml:space="preserve">člen domácnosti osoby, které je nebo byla poskytována sociální služba, oprávněný k zastupování této osoby podle občanského zákoníku,  </w:t>
      </w:r>
    </w:p>
    <w:p w14:paraId="43F38A91" w14:textId="40FA381F" w:rsidR="00887C3B" w:rsidRPr="001C47DD" w:rsidRDefault="00D67822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 w:rsidRPr="001C47DD">
        <w:rPr>
          <w:rFonts w:ascii="Calibri" w:hAnsi="Calibri" w:cs="Calibri"/>
          <w:color w:val="auto"/>
        </w:rPr>
        <w:t>pracovník</w:t>
      </w:r>
      <w:r w:rsidR="00887C3B" w:rsidRPr="001C47DD">
        <w:rPr>
          <w:rFonts w:ascii="Calibri" w:hAnsi="Calibri" w:cs="Calibri"/>
          <w:color w:val="auto"/>
        </w:rPr>
        <w:t xml:space="preserve"> poskytovatele sociálních služeb</w:t>
      </w:r>
      <w:r w:rsidR="00D97E7B">
        <w:rPr>
          <w:rFonts w:ascii="Calibri" w:hAnsi="Calibri" w:cs="Calibri"/>
          <w:color w:val="auto"/>
        </w:rPr>
        <w:t>,</w:t>
      </w:r>
    </w:p>
    <w:p w14:paraId="7117A667" w14:textId="32BBC274" w:rsidR="00887C3B" w:rsidRPr="00E54B06" w:rsidRDefault="00D97E7B" w:rsidP="008F5930">
      <w:pPr>
        <w:pStyle w:val="Default"/>
        <w:numPr>
          <w:ilvl w:val="0"/>
          <w:numId w:val="11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dále jen „stěžovatel“.</w:t>
      </w:r>
    </w:p>
    <w:p w14:paraId="523E92C7" w14:textId="183F2390" w:rsidR="00D67822" w:rsidRDefault="00D67822" w:rsidP="00192DB2">
      <w:pPr>
        <w:jc w:val="both"/>
        <w:rPr>
          <w:rFonts w:ascii="Calibri" w:hAnsi="Calibri" w:cs="Calibri"/>
        </w:rPr>
      </w:pPr>
    </w:p>
    <w:p w14:paraId="36B6D7D4" w14:textId="491BDE8E" w:rsidR="00D67822" w:rsidRPr="001C47DD" w:rsidRDefault="00D67822" w:rsidP="00192DB2">
      <w:pPr>
        <w:jc w:val="both"/>
        <w:rPr>
          <w:rFonts w:ascii="Calibri" w:hAnsi="Calibri" w:cs="Calibri"/>
          <w:b/>
        </w:rPr>
      </w:pPr>
      <w:r w:rsidRPr="001C47DD">
        <w:rPr>
          <w:rFonts w:ascii="Calibri" w:hAnsi="Calibri" w:cs="Calibri"/>
          <w:b/>
        </w:rPr>
        <w:t>Postup pro podávání stížností</w:t>
      </w:r>
    </w:p>
    <w:p w14:paraId="5D4A421C" w14:textId="529642A6" w:rsidR="000F49DB" w:rsidRPr="001C47DD" w:rsidRDefault="001C47DD" w:rsidP="008F5930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1C47DD">
        <w:rPr>
          <w:rFonts w:ascii="Calibri" w:hAnsi="Calibri" w:cs="Calibri"/>
        </w:rPr>
        <w:t xml:space="preserve">O </w:t>
      </w:r>
      <w:r w:rsidR="000F49DB" w:rsidRPr="001C47DD">
        <w:rPr>
          <w:rFonts w:ascii="Calibri" w:hAnsi="Calibri" w:cs="Calibri"/>
        </w:rPr>
        <w:t xml:space="preserve">postupu pro podávání stížností srozumitelně informují sociální pracovníci nového uživatele při podpisu Smlouvy. </w:t>
      </w:r>
    </w:p>
    <w:p w14:paraId="3AD40A1D" w14:textId="55582C10" w:rsidR="00F8063F" w:rsidRPr="001C47DD" w:rsidRDefault="000F49DB" w:rsidP="008F5930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1C47DD">
        <w:rPr>
          <w:rFonts w:ascii="Calibri" w:hAnsi="Calibri" w:cs="Calibri"/>
        </w:rPr>
        <w:t>Tento postup</w:t>
      </w:r>
      <w:r w:rsidR="00D67822" w:rsidRPr="001C47DD">
        <w:rPr>
          <w:rFonts w:ascii="Calibri" w:hAnsi="Calibri" w:cs="Calibri"/>
        </w:rPr>
        <w:t xml:space="preserve"> je součástí dokumentu „Vnitřní pravidla pro poskytování PS“, který je uživateli předán</w:t>
      </w:r>
      <w:r w:rsidRPr="001C47DD">
        <w:rPr>
          <w:rFonts w:ascii="Calibri" w:hAnsi="Calibri" w:cs="Calibri"/>
        </w:rPr>
        <w:t xml:space="preserve"> v listinné podobě při podpisu S</w:t>
      </w:r>
      <w:r w:rsidR="00D67822" w:rsidRPr="001C47DD">
        <w:rPr>
          <w:rFonts w:ascii="Calibri" w:hAnsi="Calibri" w:cs="Calibri"/>
        </w:rPr>
        <w:t>m</w:t>
      </w:r>
      <w:r w:rsidR="001C47DD">
        <w:rPr>
          <w:rFonts w:ascii="Calibri" w:hAnsi="Calibri" w:cs="Calibri"/>
        </w:rPr>
        <w:t>louvy, což uživatel stvrdí svým</w:t>
      </w:r>
      <w:r w:rsidR="00D67822" w:rsidRPr="001C47DD">
        <w:rPr>
          <w:rFonts w:ascii="Calibri" w:hAnsi="Calibri" w:cs="Calibri"/>
        </w:rPr>
        <w:t xml:space="preserve"> podpisem. Dokument je umístěn také na webu poskytovatele</w:t>
      </w:r>
      <w:r w:rsidRPr="001C47DD">
        <w:rPr>
          <w:rFonts w:ascii="Calibri" w:hAnsi="Calibri" w:cs="Calibri"/>
        </w:rPr>
        <w:t>, je uživatelům k dispozici rovněž v listinné formě na vyžádání u sociálních pracovníků poskytovatele.</w:t>
      </w:r>
      <w:r w:rsidR="00D67822" w:rsidRPr="001C47DD">
        <w:rPr>
          <w:rFonts w:ascii="Calibri" w:hAnsi="Calibri" w:cs="Calibri"/>
        </w:rPr>
        <w:t xml:space="preserve"> </w:t>
      </w:r>
    </w:p>
    <w:p w14:paraId="1E0675D4" w14:textId="4B94727C" w:rsidR="00D67822" w:rsidRPr="00D97E7B" w:rsidRDefault="00F8063F" w:rsidP="008F5930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1C47DD">
        <w:rPr>
          <w:rFonts w:ascii="Calibri" w:hAnsi="Calibri" w:cs="Calibri"/>
        </w:rPr>
        <w:t>Součástí pravidel</w:t>
      </w:r>
      <w:r w:rsidR="00D67822" w:rsidRPr="001C47DD">
        <w:rPr>
          <w:rFonts w:ascii="Calibri" w:hAnsi="Calibri" w:cs="Calibri"/>
        </w:rPr>
        <w:t xml:space="preserve"> je i jednoduchý </w:t>
      </w:r>
      <w:r w:rsidRPr="001C47DD">
        <w:rPr>
          <w:rFonts w:ascii="Calibri" w:hAnsi="Calibri" w:cs="Calibri"/>
        </w:rPr>
        <w:t xml:space="preserve">(obrázkový) </w:t>
      </w:r>
      <w:r w:rsidR="00D67822" w:rsidRPr="001C47DD">
        <w:rPr>
          <w:rFonts w:ascii="Calibri" w:hAnsi="Calibri" w:cs="Calibri"/>
        </w:rPr>
        <w:t>návod pro podávání stížností</w:t>
      </w:r>
      <w:r w:rsidR="00D97E7B">
        <w:rPr>
          <w:rFonts w:ascii="Calibri" w:hAnsi="Calibri" w:cs="Calibri"/>
        </w:rPr>
        <w:t xml:space="preserve"> (</w:t>
      </w:r>
      <w:r w:rsidR="00D97E7B" w:rsidRPr="00D97E7B">
        <w:rPr>
          <w:rFonts w:ascii="Calibri" w:hAnsi="Calibri" w:cs="Calibri"/>
        </w:rPr>
        <w:t xml:space="preserve">S7 PS </w:t>
      </w:r>
      <w:r w:rsidR="003546A8" w:rsidRPr="00D97E7B">
        <w:rPr>
          <w:rFonts w:ascii="Calibri" w:hAnsi="Calibri" w:cs="Calibri"/>
        </w:rPr>
        <w:t>Příloha č. 1</w:t>
      </w:r>
      <w:r w:rsidR="00D97E7B" w:rsidRPr="00D97E7B">
        <w:rPr>
          <w:rFonts w:ascii="Calibri" w:hAnsi="Calibri" w:cs="Calibri"/>
        </w:rPr>
        <w:t xml:space="preserve"> –</w:t>
      </w:r>
      <w:r w:rsidR="00D97E7B">
        <w:rPr>
          <w:rFonts w:ascii="Calibri" w:hAnsi="Calibri" w:cs="Calibri"/>
        </w:rPr>
        <w:t xml:space="preserve"> Alternativní komunikace k oblasti</w:t>
      </w:r>
      <w:r w:rsidR="00D97E7B" w:rsidRPr="00D97E7B">
        <w:rPr>
          <w:rFonts w:ascii="Calibri" w:hAnsi="Calibri" w:cs="Calibri"/>
        </w:rPr>
        <w:t xml:space="preserve"> stížnosti</w:t>
      </w:r>
      <w:r w:rsidRPr="00D97E7B">
        <w:rPr>
          <w:rFonts w:ascii="Calibri" w:hAnsi="Calibri" w:cs="Calibri"/>
        </w:rPr>
        <w:t>)</w:t>
      </w:r>
      <w:r w:rsidR="00D67822" w:rsidRPr="00D97E7B">
        <w:rPr>
          <w:rFonts w:ascii="Calibri" w:hAnsi="Calibri" w:cs="Calibri"/>
        </w:rPr>
        <w:t xml:space="preserve"> spolu s příslušnými formuláři</w:t>
      </w:r>
      <w:r w:rsidRPr="00D97E7B">
        <w:rPr>
          <w:rFonts w:ascii="Calibri" w:hAnsi="Calibri" w:cs="Calibri"/>
        </w:rPr>
        <w:t>.</w:t>
      </w:r>
    </w:p>
    <w:p w14:paraId="3811B48D" w14:textId="1D3B4D74" w:rsidR="00D67822" w:rsidRPr="001C47DD" w:rsidRDefault="00D67822" w:rsidP="008F5930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1C47DD">
        <w:rPr>
          <w:rFonts w:ascii="Calibri" w:hAnsi="Calibri" w:cs="Calibri"/>
        </w:rPr>
        <w:t>Podání stížnosti nesmí být stěžovateli, nebo uživateli, kterému je nebo byla poskytována sociální služba, jíž se stížnost týká, a která není zároveň stěžovatelem, na újmu.</w:t>
      </w:r>
    </w:p>
    <w:p w14:paraId="3943D53A" w14:textId="15CB5345" w:rsidR="005865D2" w:rsidRDefault="005865D2" w:rsidP="008F5930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 w:rsidRPr="001C47DD">
        <w:rPr>
          <w:rFonts w:ascii="Calibri" w:hAnsi="Calibri" w:cs="Calibri"/>
        </w:rPr>
        <w:t>Všichni pracovníci jsou povinní v rámci své působnosti přijímat stížnosti a zabezpečit jejich včasné podání (nejpozději do tří dnů) do evidence k vedoucímu PS. V případě jeho nepřítomnosti do rukou jeho zástupce.</w:t>
      </w:r>
    </w:p>
    <w:p w14:paraId="3446336B" w14:textId="4E5FF241" w:rsidR="00AE5EDD" w:rsidRPr="001C47DD" w:rsidRDefault="00AE5EDD" w:rsidP="008F5930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přijetí stížnosti do evidence je vždy bezodkladně informována ředitelka OCHNH.</w:t>
      </w:r>
    </w:p>
    <w:p w14:paraId="22775745" w14:textId="77777777" w:rsidR="005865D2" w:rsidRPr="001C47DD" w:rsidRDefault="005865D2" w:rsidP="008F593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1C47DD">
        <w:rPr>
          <w:rFonts w:asciiTheme="minorHAnsi" w:hAnsiTheme="minorHAnsi" w:cstheme="minorHAnsi"/>
          <w:color w:val="000000"/>
        </w:rPr>
        <w:t xml:space="preserve">Ze stížnosti musí být patrné, kdo ji podává, a které věci se týká. Pokud stěžovatel neuvede místo svého trvalého pobytu, popřípadě jinou adresu pro doručování, stížnost je kvalifikována jako anonymní. </w:t>
      </w:r>
    </w:p>
    <w:p w14:paraId="1D5B54E3" w14:textId="746893B9" w:rsidR="007962CC" w:rsidRDefault="00F8063F" w:rsidP="008F593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</w:rPr>
      </w:pPr>
      <w:r w:rsidRPr="001C47DD">
        <w:rPr>
          <w:rFonts w:asciiTheme="minorHAnsi" w:hAnsiTheme="minorHAnsi" w:cstheme="minorHAnsi"/>
        </w:rPr>
        <w:t>S</w:t>
      </w:r>
      <w:r w:rsidR="005865D2" w:rsidRPr="001C47DD">
        <w:rPr>
          <w:rFonts w:asciiTheme="minorHAnsi" w:hAnsiTheme="minorHAnsi" w:cstheme="minorHAnsi"/>
        </w:rPr>
        <w:t xml:space="preserve">tížnosti </w:t>
      </w:r>
      <w:r w:rsidR="007962CC">
        <w:rPr>
          <w:rFonts w:asciiTheme="minorHAnsi" w:hAnsiTheme="minorHAnsi" w:cstheme="minorHAnsi"/>
        </w:rPr>
        <w:t>ne</w:t>
      </w:r>
      <w:r w:rsidR="005865D2" w:rsidRPr="001C47DD">
        <w:rPr>
          <w:rFonts w:asciiTheme="minorHAnsi" w:hAnsiTheme="minorHAnsi" w:cstheme="minorHAnsi"/>
        </w:rPr>
        <w:t>lze podávat anonymně</w:t>
      </w:r>
      <w:r w:rsidRPr="001C47DD">
        <w:rPr>
          <w:rFonts w:asciiTheme="minorHAnsi" w:hAnsiTheme="minorHAnsi" w:cs="Arial"/>
        </w:rPr>
        <w:t xml:space="preserve">, </w:t>
      </w:r>
      <w:r w:rsidR="00AE5EDD">
        <w:rPr>
          <w:rFonts w:asciiTheme="minorHAnsi" w:hAnsiTheme="minorHAnsi" w:cs="Arial"/>
        </w:rPr>
        <w:t>vždy musí</w:t>
      </w:r>
      <w:r w:rsidR="007962CC">
        <w:rPr>
          <w:rFonts w:asciiTheme="minorHAnsi" w:hAnsiTheme="minorHAnsi" w:cs="Arial"/>
        </w:rPr>
        <w:t xml:space="preserve"> obsahovat jméno a příjmení stěžovatele, kontaktní poštovní adresu stěžovatele</w:t>
      </w:r>
      <w:r w:rsidR="000215A8">
        <w:rPr>
          <w:rFonts w:asciiTheme="minorHAnsi" w:hAnsiTheme="minorHAnsi" w:cs="Arial"/>
        </w:rPr>
        <w:t>, podrobný popis předmětu/situace, které vedly k podání stížnosti a podpis stěžovatele.</w:t>
      </w:r>
    </w:p>
    <w:p w14:paraId="60230D0C" w14:textId="25DDC7D8" w:rsidR="000215A8" w:rsidRDefault="000215A8" w:rsidP="008F593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Anonymní stížnosti a stížnosti nesplňující výše uvedené n</w:t>
      </w:r>
      <w:r w:rsidR="00D97E7B">
        <w:rPr>
          <w:rFonts w:asciiTheme="minorHAnsi" w:hAnsiTheme="minorHAnsi" w:cstheme="minorHAnsi"/>
        </w:rPr>
        <w:t>áležitosti jsou</w:t>
      </w:r>
      <w:r>
        <w:rPr>
          <w:rFonts w:asciiTheme="minorHAnsi" w:hAnsiTheme="minorHAnsi" w:cstheme="minorHAnsi"/>
        </w:rPr>
        <w:t xml:space="preserve"> brány pouze jako podnět a nebudou šetřeny ani vyhodnocovány v režimu stížností.</w:t>
      </w:r>
    </w:p>
    <w:p w14:paraId="0FCD2112" w14:textId="7964E461" w:rsidR="007962CC" w:rsidRPr="00AE5EDD" w:rsidRDefault="000215A8" w:rsidP="008F5930">
      <w:pPr>
        <w:pStyle w:val="Normlnodsazen1"/>
        <w:numPr>
          <w:ilvl w:val="0"/>
          <w:numId w:val="2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 případě podání stížnosti jinou osobou než uživatelem (vyjma zákonného zástupce), </w:t>
      </w:r>
      <w:r w:rsidRPr="005B7C67">
        <w:rPr>
          <w:rFonts w:ascii="Calibri" w:hAnsi="Calibri" w:cs="Arial"/>
        </w:rPr>
        <w:t xml:space="preserve">je třeba písemný souhlas uživatele </w:t>
      </w:r>
      <w:r>
        <w:rPr>
          <w:rFonts w:ascii="Calibri" w:hAnsi="Calibri" w:cs="Arial"/>
        </w:rPr>
        <w:t>se šetřením stížnosti (plná moc bez úředně ověřeného podpisu).</w:t>
      </w:r>
    </w:p>
    <w:p w14:paraId="474E7279" w14:textId="593B31E3" w:rsidR="00F8063F" w:rsidRPr="001C47DD" w:rsidRDefault="00FB5AF4" w:rsidP="008F593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Podněty lze podávat anony</w:t>
      </w:r>
      <w:r w:rsidR="00AE5EDD">
        <w:rPr>
          <w:rFonts w:asciiTheme="minorHAnsi" w:hAnsiTheme="minorHAnsi" w:cs="Arial"/>
        </w:rPr>
        <w:t>m</w:t>
      </w:r>
      <w:r>
        <w:rPr>
          <w:rFonts w:asciiTheme="minorHAnsi" w:hAnsiTheme="minorHAnsi" w:cs="Arial"/>
        </w:rPr>
        <w:t>n</w:t>
      </w:r>
      <w:r w:rsidR="00AE5EDD">
        <w:rPr>
          <w:rFonts w:asciiTheme="minorHAnsi" w:hAnsiTheme="minorHAnsi" w:cs="Arial"/>
        </w:rPr>
        <w:t>ě</w:t>
      </w:r>
      <w:r w:rsidR="00F8063F" w:rsidRPr="001C47DD">
        <w:rPr>
          <w:rFonts w:asciiTheme="minorHAnsi" w:hAnsiTheme="minorHAnsi" w:cs="Arial"/>
        </w:rPr>
        <w:t xml:space="preserve"> elektronicky e-mailem (bez uvedení osobních údajů); telefonicky (volající se nepředstaví), poštou či vhozením do schránky v Domě </w:t>
      </w:r>
      <w:r w:rsidR="00F8063F" w:rsidRPr="001C47DD">
        <w:rPr>
          <w:rFonts w:asciiTheme="minorHAnsi" w:hAnsiTheme="minorHAnsi" w:cstheme="minorHAnsi"/>
        </w:rPr>
        <w:t>sv. Josefa v Chotovicích čp. 31; v Domě sv. Anežky, Erbenova 730, v Hlinsku; v Domě s pečovatelskou službou, Litomyšlská 50, Vysoké Mýto</w:t>
      </w:r>
      <w:r w:rsidR="00F8063F" w:rsidRPr="001C47DD">
        <w:rPr>
          <w:rFonts w:asciiTheme="minorHAnsi" w:hAnsiTheme="minorHAnsi" w:cs="Arial"/>
        </w:rPr>
        <w:t xml:space="preserve"> (bez uvedení osobních údajů). </w:t>
      </w:r>
    </w:p>
    <w:p w14:paraId="27884272" w14:textId="13D50C6D" w:rsidR="00F8063F" w:rsidRPr="001C47DD" w:rsidRDefault="00F8063F" w:rsidP="008F5930">
      <w:pPr>
        <w:pStyle w:val="Odstavecseseznamem"/>
        <w:numPr>
          <w:ilvl w:val="0"/>
          <w:numId w:val="2"/>
        </w:numPr>
        <w:jc w:val="both"/>
        <w:rPr>
          <w:rFonts w:cs="Arial"/>
        </w:rPr>
      </w:pPr>
      <w:r w:rsidRPr="001C47DD">
        <w:rPr>
          <w:rFonts w:cs="Arial"/>
        </w:rPr>
        <w:t xml:space="preserve">Schránky </w:t>
      </w:r>
      <w:r w:rsidR="001C47DD">
        <w:rPr>
          <w:rFonts w:cs="Arial"/>
        </w:rPr>
        <w:t>(</w:t>
      </w:r>
      <w:r w:rsidRPr="001C47DD">
        <w:rPr>
          <w:rFonts w:cs="Arial"/>
        </w:rPr>
        <w:t>na stížnosti</w:t>
      </w:r>
      <w:r w:rsidR="001C47DD">
        <w:rPr>
          <w:rFonts w:cs="Arial"/>
        </w:rPr>
        <w:t>)</w:t>
      </w:r>
      <w:r w:rsidRPr="001C47DD">
        <w:rPr>
          <w:rFonts w:cs="Arial"/>
        </w:rPr>
        <w:t xml:space="preserve"> v domech jsou vybírány odpovědnou osobou 1 x týdně v úterý.</w:t>
      </w:r>
    </w:p>
    <w:p w14:paraId="75CD2A6B" w14:textId="67A3F3BA" w:rsidR="005865D2" w:rsidRPr="001C47DD" w:rsidRDefault="00AE5EDD" w:rsidP="008F5930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Anonymní podnět</w:t>
      </w:r>
      <w:r w:rsidR="005865D2" w:rsidRPr="001C47DD">
        <w:rPr>
          <w:rFonts w:asciiTheme="minorHAnsi" w:hAnsiTheme="minorHAnsi" w:cstheme="minorHAnsi"/>
          <w:color w:val="000000"/>
        </w:rPr>
        <w:t xml:space="preserve"> posoudí ředitelka OCHNH s přihlédnutím k obsahu a pověří pracovníka k prověření pravdivosti </w:t>
      </w:r>
      <w:r>
        <w:rPr>
          <w:rFonts w:asciiTheme="minorHAnsi" w:hAnsiTheme="minorHAnsi" w:cstheme="minorHAnsi"/>
          <w:color w:val="000000"/>
        </w:rPr>
        <w:t>tvrzení obsažených v podnětu.</w:t>
      </w:r>
      <w:r w:rsidR="005865D2" w:rsidRPr="001C47DD">
        <w:rPr>
          <w:rFonts w:asciiTheme="minorHAnsi" w:hAnsiTheme="minorHAnsi" w:cstheme="minorHAnsi"/>
          <w:color w:val="000000"/>
        </w:rPr>
        <w:t xml:space="preserve">  Pokud není možné ani výkladem obsahu </w:t>
      </w:r>
      <w:r>
        <w:rPr>
          <w:rFonts w:asciiTheme="minorHAnsi" w:hAnsiTheme="minorHAnsi" w:cstheme="minorHAnsi"/>
          <w:color w:val="000000"/>
        </w:rPr>
        <w:t>podnětu zjistit, čeho se podnět</w:t>
      </w:r>
      <w:r w:rsidR="005865D2" w:rsidRPr="001C47DD">
        <w:rPr>
          <w:rFonts w:asciiTheme="minorHAnsi" w:hAnsiTheme="minorHAnsi" w:cstheme="minorHAnsi"/>
          <w:color w:val="000000"/>
        </w:rPr>
        <w:t xml:space="preserve"> týk</w:t>
      </w:r>
      <w:r>
        <w:rPr>
          <w:rFonts w:asciiTheme="minorHAnsi" w:hAnsiTheme="minorHAnsi" w:cstheme="minorHAnsi"/>
          <w:color w:val="000000"/>
        </w:rPr>
        <w:t>á a proti komu směřuje, podnět</w:t>
      </w:r>
      <w:r w:rsidR="005865D2" w:rsidRPr="001C47DD">
        <w:rPr>
          <w:rFonts w:asciiTheme="minorHAnsi" w:hAnsiTheme="minorHAnsi" w:cstheme="minorHAnsi"/>
          <w:color w:val="000000"/>
        </w:rPr>
        <w:t xml:space="preserve"> se bez dalšího odloží.</w:t>
      </w:r>
    </w:p>
    <w:p w14:paraId="0F01758D" w14:textId="3F8C9469" w:rsidR="005865D2" w:rsidRPr="001C47DD" w:rsidRDefault="005865D2" w:rsidP="00D97E7B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1C47DD">
        <w:rPr>
          <w:rFonts w:asciiTheme="minorHAnsi" w:hAnsiTheme="minorHAnsi" w:cstheme="minorHAnsi"/>
          <w:color w:val="000000"/>
        </w:rPr>
        <w:t xml:space="preserve">Při ústním podání stížnosti pověřený pracovník provádí se stěžovatelem zápis do Formuláře pro podávání </w:t>
      </w:r>
      <w:r w:rsidR="00F8063F" w:rsidRPr="001C47DD">
        <w:rPr>
          <w:rFonts w:asciiTheme="minorHAnsi" w:hAnsiTheme="minorHAnsi" w:cstheme="minorHAnsi"/>
          <w:color w:val="000000"/>
        </w:rPr>
        <w:t xml:space="preserve">a řešení stížností </w:t>
      </w:r>
      <w:r w:rsidR="00D97E7B">
        <w:rPr>
          <w:rFonts w:ascii="Calibri" w:hAnsi="Calibri" w:cs="Calibri"/>
        </w:rPr>
        <w:t>(</w:t>
      </w:r>
      <w:r w:rsidR="00D97E7B" w:rsidRPr="00D97E7B">
        <w:rPr>
          <w:rFonts w:ascii="Calibri" w:hAnsi="Calibri" w:cs="Calibri"/>
        </w:rPr>
        <w:t xml:space="preserve">S7 PS </w:t>
      </w:r>
      <w:r w:rsidR="005B7C67">
        <w:rPr>
          <w:rFonts w:ascii="Calibri" w:hAnsi="Calibri" w:cs="Calibri"/>
        </w:rPr>
        <w:t>Příloha č. 2</w:t>
      </w:r>
      <w:r w:rsidR="00D97E7B" w:rsidRPr="00D97E7B">
        <w:rPr>
          <w:rFonts w:ascii="Calibri" w:hAnsi="Calibri" w:cs="Calibri"/>
        </w:rPr>
        <w:t xml:space="preserve"> – Tiskopis řešení stížnosti)</w:t>
      </w:r>
      <w:r w:rsidR="00D97E7B">
        <w:rPr>
          <w:rFonts w:ascii="Calibri" w:hAnsi="Calibri" w:cs="Calibri"/>
        </w:rPr>
        <w:t>.</w:t>
      </w:r>
    </w:p>
    <w:p w14:paraId="775F6A20" w14:textId="77777777" w:rsidR="005865D2" w:rsidRPr="001C47DD" w:rsidRDefault="005865D2" w:rsidP="001F3840">
      <w:pPr>
        <w:ind w:left="360"/>
        <w:jc w:val="both"/>
        <w:rPr>
          <w:rFonts w:cstheme="minorHAnsi"/>
        </w:rPr>
      </w:pPr>
    </w:p>
    <w:p w14:paraId="45E1F1D7" w14:textId="77777777" w:rsidR="00A0146D" w:rsidRPr="00A16758" w:rsidRDefault="00A0146D" w:rsidP="00A0146D">
      <w:pPr>
        <w:jc w:val="both"/>
        <w:rPr>
          <w:rFonts w:ascii="Calibri" w:hAnsi="Calibri" w:cs="Calibri"/>
          <w:b/>
          <w:bCs/>
        </w:rPr>
      </w:pPr>
      <w:r w:rsidRPr="001C47DD">
        <w:rPr>
          <w:rFonts w:ascii="Calibri" w:hAnsi="Calibri" w:cs="Calibri"/>
          <w:b/>
          <w:bCs/>
        </w:rPr>
        <w:t>Odpovědnost poskytovatele</w:t>
      </w:r>
      <w:r w:rsidRPr="00A16758">
        <w:rPr>
          <w:rFonts w:ascii="Calibri" w:hAnsi="Calibri" w:cs="Calibri"/>
          <w:b/>
          <w:bCs/>
        </w:rPr>
        <w:t xml:space="preserve"> </w:t>
      </w:r>
    </w:p>
    <w:p w14:paraId="0807AEE8" w14:textId="77777777" w:rsidR="00A0146D" w:rsidRPr="00C72C5D" w:rsidRDefault="00A0146D" w:rsidP="008F5930">
      <w:pPr>
        <w:pStyle w:val="Odstavecseseznamem"/>
        <w:numPr>
          <w:ilvl w:val="0"/>
          <w:numId w:val="3"/>
        </w:numPr>
        <w:jc w:val="both"/>
        <w:rPr>
          <w:rFonts w:ascii="Calibri" w:hAnsi="Calibri" w:cs="Calibri"/>
        </w:rPr>
      </w:pPr>
      <w:r w:rsidRPr="00C72C5D">
        <w:rPr>
          <w:rFonts w:ascii="Calibri" w:hAnsi="Calibri" w:cs="Calibri"/>
        </w:rPr>
        <w:t xml:space="preserve">Poskytovatel musí odlišit, zda se jedná o podnět, nebo stížnost. Pouze stížnost se řeší níže uvedeným postupem. </w:t>
      </w:r>
    </w:p>
    <w:p w14:paraId="29CDC00B" w14:textId="6847FF0F" w:rsidR="00A0146D" w:rsidRPr="00C72C5D" w:rsidRDefault="00A0146D" w:rsidP="008F5930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72C5D">
        <w:rPr>
          <w:rFonts w:ascii="Calibri" w:eastAsia="Calibri" w:hAnsi="Calibri" w:cs="Calibri"/>
        </w:rPr>
        <w:lastRenderedPageBreak/>
        <w:t>Může nastat situace, že si uživatel (resp. stěžovatel) stěžuje (zejména ústně), ale uvádí, že se o stížnost nejedná, případně situace, kdy uživatel (resp. stěžovatel) odmítne podat oficiální stížnost. Uvedené situace jsou prošetřeny jako podnět. Podnět je následně projednán v nejbližším možném termínu na provozní poradě.</w:t>
      </w:r>
      <w:r w:rsidR="00A54521" w:rsidRPr="00C72C5D">
        <w:rPr>
          <w:rFonts w:ascii="Calibri" w:eastAsia="Calibri" w:hAnsi="Calibri" w:cs="Calibri"/>
        </w:rPr>
        <w:t xml:space="preserve"> Stěžovatel je o tomto informován.</w:t>
      </w:r>
    </w:p>
    <w:p w14:paraId="554D1D98" w14:textId="0B209EAC" w:rsidR="00A0146D" w:rsidRPr="00C72C5D" w:rsidRDefault="00A0146D" w:rsidP="008F5930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72C5D">
        <w:rPr>
          <w:rFonts w:ascii="Calibri" w:eastAsia="Calibri" w:hAnsi="Calibri" w:cs="Calibri"/>
        </w:rPr>
        <w:t>Nebo naopak může nastat situace, kdy stěžovatel tvrdí, že se jedná o stížnost, ale poskytovatel podání vyhodnotí jako podět. Situaci však řeší a přijímá opatření, nikoli nutně dle níže uvedeného postupu.</w:t>
      </w:r>
      <w:r w:rsidR="00A54521" w:rsidRPr="00C72C5D">
        <w:rPr>
          <w:rFonts w:ascii="Calibri" w:eastAsia="Calibri" w:hAnsi="Calibri" w:cs="Calibri"/>
        </w:rPr>
        <w:t xml:space="preserve"> Stěžovatel je o tomto informován.</w:t>
      </w:r>
    </w:p>
    <w:p w14:paraId="0A752185" w14:textId="77777777" w:rsidR="00A0146D" w:rsidRPr="00A54521" w:rsidRDefault="00A0146D" w:rsidP="008F5930">
      <w:pPr>
        <w:pStyle w:val="Odstavecseseznamem"/>
        <w:numPr>
          <w:ilvl w:val="0"/>
          <w:numId w:val="3"/>
        </w:numPr>
        <w:jc w:val="both"/>
        <w:rPr>
          <w:rFonts w:ascii="Calibri" w:eastAsia="Calibri" w:hAnsi="Calibri" w:cs="Calibri"/>
        </w:rPr>
      </w:pPr>
      <w:r w:rsidRPr="00C72C5D">
        <w:rPr>
          <w:rFonts w:ascii="Calibri" w:eastAsia="Calibri" w:hAnsi="Calibri" w:cs="Calibri"/>
        </w:rPr>
        <w:t>Opakované stížnosti, které již byly v minulosti prošetřovány</w:t>
      </w:r>
      <w:r w:rsidRPr="00A54521">
        <w:rPr>
          <w:rFonts w:ascii="Calibri" w:eastAsia="Calibri" w:hAnsi="Calibri" w:cs="Calibri"/>
        </w:rPr>
        <w:t xml:space="preserve"> a podněty neobsahující žádné nové skutečnosti, se opětovně neprošetřují. Stěžovatel je o tomto informován.</w:t>
      </w:r>
    </w:p>
    <w:p w14:paraId="6AB87291" w14:textId="77777777" w:rsidR="008836F4" w:rsidRDefault="008836F4" w:rsidP="00192DB2">
      <w:pPr>
        <w:jc w:val="both"/>
        <w:rPr>
          <w:rFonts w:asciiTheme="minorHAnsi" w:hAnsiTheme="minorHAnsi" w:cs="Arial"/>
        </w:rPr>
      </w:pPr>
    </w:p>
    <w:p w14:paraId="097596DE" w14:textId="33F4F418" w:rsidR="00466CF5" w:rsidRDefault="00466CF5" w:rsidP="00192DB2">
      <w:pPr>
        <w:jc w:val="both"/>
        <w:rPr>
          <w:rFonts w:asciiTheme="minorHAnsi" w:hAnsiTheme="minorHAnsi" w:cs="Arial"/>
          <w:b/>
        </w:rPr>
      </w:pPr>
      <w:r w:rsidRPr="00192DB2">
        <w:rPr>
          <w:rFonts w:asciiTheme="minorHAnsi" w:hAnsiTheme="minorHAnsi" w:cs="Arial"/>
          <w:b/>
        </w:rPr>
        <w:t>Způsoby podání stížností:</w:t>
      </w:r>
    </w:p>
    <w:p w14:paraId="57451270" w14:textId="3FB5EF76" w:rsidR="000A45C4" w:rsidRPr="00CA7F44" w:rsidRDefault="000A45C4" w:rsidP="008F5930">
      <w:pPr>
        <w:pStyle w:val="Odstavecseseznamem"/>
        <w:numPr>
          <w:ilvl w:val="0"/>
          <w:numId w:val="4"/>
        </w:numPr>
        <w:jc w:val="both"/>
        <w:rPr>
          <w:rFonts w:cs="Arial"/>
          <w:b/>
        </w:rPr>
      </w:pPr>
      <w:r w:rsidRPr="00CA7F44">
        <w:rPr>
          <w:rFonts w:cs="Arial"/>
          <w:b/>
        </w:rPr>
        <w:t>Písemné podání</w:t>
      </w:r>
    </w:p>
    <w:p w14:paraId="35C4F5BF" w14:textId="5F63B41B" w:rsidR="000A45C4" w:rsidRPr="00CA7F44" w:rsidRDefault="000A45C4" w:rsidP="008F5930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CA7F44">
        <w:rPr>
          <w:rFonts w:cs="Arial"/>
          <w:u w:val="single"/>
        </w:rPr>
        <w:t>Před</w:t>
      </w:r>
      <w:r w:rsidR="00CA7F44" w:rsidRPr="00CA7F44">
        <w:rPr>
          <w:rFonts w:cs="Arial"/>
          <w:u w:val="single"/>
        </w:rPr>
        <w:t>á</w:t>
      </w:r>
      <w:r w:rsidRPr="00CA7F44">
        <w:rPr>
          <w:rFonts w:cs="Arial"/>
          <w:u w:val="single"/>
        </w:rPr>
        <w:t>ním kterémukoliv pracovníkovi PS</w:t>
      </w:r>
      <w:r w:rsidR="00CA7F44">
        <w:rPr>
          <w:rFonts w:cs="Arial"/>
        </w:rPr>
        <w:t xml:space="preserve"> – pracovník předá stížnost </w:t>
      </w:r>
      <w:r w:rsidR="00C72C5D">
        <w:rPr>
          <w:rFonts w:cs="Arial"/>
        </w:rPr>
        <w:t>vedoucímu PS</w:t>
      </w:r>
      <w:r w:rsidR="00CA7F44">
        <w:rPr>
          <w:rFonts w:cs="Arial"/>
        </w:rPr>
        <w:t xml:space="preserve">, který zapíše do formuláře pro podávání a řešení stížností </w:t>
      </w:r>
      <w:r w:rsidR="00D97E7B">
        <w:rPr>
          <w:rFonts w:ascii="Calibri" w:hAnsi="Calibri" w:cs="Calibri"/>
        </w:rPr>
        <w:t>(</w:t>
      </w:r>
      <w:r w:rsidR="00D97E7B" w:rsidRPr="00D97E7B">
        <w:rPr>
          <w:rFonts w:ascii="Calibri" w:hAnsi="Calibri" w:cs="Calibri"/>
        </w:rPr>
        <w:t xml:space="preserve">S7 PS </w:t>
      </w:r>
      <w:r w:rsidR="005B7C67">
        <w:rPr>
          <w:rFonts w:ascii="Calibri" w:hAnsi="Calibri" w:cs="Calibri"/>
        </w:rPr>
        <w:t>Příloha č. 2</w:t>
      </w:r>
      <w:r w:rsidR="00D97E7B" w:rsidRPr="00D97E7B">
        <w:rPr>
          <w:rFonts w:ascii="Calibri" w:hAnsi="Calibri" w:cs="Calibri"/>
        </w:rPr>
        <w:t xml:space="preserve"> – Tiskopis řešení stížnosti) </w:t>
      </w:r>
      <w:r w:rsidR="00CA7F44">
        <w:rPr>
          <w:rFonts w:cs="Arial"/>
        </w:rPr>
        <w:t xml:space="preserve">a </w:t>
      </w:r>
      <w:r w:rsidR="00C72C5D">
        <w:rPr>
          <w:rFonts w:cs="Arial"/>
        </w:rPr>
        <w:t>dále se řeší dle pravidel vyřízení.</w:t>
      </w:r>
    </w:p>
    <w:p w14:paraId="41B04B99" w14:textId="3C8EFA47" w:rsidR="000A45C4" w:rsidRDefault="000A45C4" w:rsidP="008F5930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CA7F44">
        <w:rPr>
          <w:rFonts w:cs="Arial"/>
          <w:u w:val="single"/>
        </w:rPr>
        <w:t>Poštou</w:t>
      </w:r>
      <w:r w:rsidRPr="00CA7F44">
        <w:rPr>
          <w:rFonts w:cs="Arial"/>
        </w:rPr>
        <w:t xml:space="preserve"> – dopisem na adresu: </w:t>
      </w:r>
      <w:r w:rsidR="00CA7F44">
        <w:rPr>
          <w:rFonts w:cs="Arial"/>
        </w:rPr>
        <w:t>: Oblastní charita Nové Hrady u Skutče, Chotovice 31, 570 01 Litomyšl</w:t>
      </w:r>
      <w:r w:rsidR="00C72C5D">
        <w:rPr>
          <w:rFonts w:cs="Arial"/>
        </w:rPr>
        <w:t>.</w:t>
      </w:r>
    </w:p>
    <w:p w14:paraId="4ADCB006" w14:textId="54244C42" w:rsidR="00CA7F44" w:rsidRPr="00CA7F44" w:rsidRDefault="00CA7F44" w:rsidP="008F5930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  <w:u w:val="single"/>
        </w:rPr>
        <w:t>V</w:t>
      </w:r>
      <w:r w:rsidRPr="007F1C8C">
        <w:rPr>
          <w:rFonts w:cs="Arial"/>
          <w:u w:val="single"/>
        </w:rPr>
        <w:t>ložit do schránky</w:t>
      </w:r>
      <w:r w:rsidRPr="00DE5D70">
        <w:rPr>
          <w:rFonts w:cstheme="minorHAnsi"/>
        </w:rPr>
        <w:t xml:space="preserve"> </w:t>
      </w:r>
      <w:r>
        <w:rPr>
          <w:rFonts w:cstheme="minorHAnsi"/>
        </w:rPr>
        <w:t>v D</w:t>
      </w:r>
      <w:r w:rsidRPr="00DE5D70">
        <w:rPr>
          <w:rFonts w:cstheme="minorHAnsi"/>
        </w:rPr>
        <w:t>omě sv. Josefa v Chotovicích čp. 31</w:t>
      </w:r>
      <w:r>
        <w:rPr>
          <w:rFonts w:cstheme="minorHAnsi"/>
        </w:rPr>
        <w:t>; v D</w:t>
      </w:r>
      <w:r w:rsidRPr="00CA7F44">
        <w:rPr>
          <w:rFonts w:cstheme="minorHAnsi"/>
        </w:rPr>
        <w:t xml:space="preserve">omě sv. Anežky, Erbenova 730, v Hlinsku; </w:t>
      </w:r>
      <w:r>
        <w:rPr>
          <w:rFonts w:cstheme="minorHAnsi"/>
        </w:rPr>
        <w:t xml:space="preserve">v Domě s pečovatelskou službou, </w:t>
      </w:r>
      <w:r w:rsidRPr="00CA7F44">
        <w:rPr>
          <w:rFonts w:cstheme="minorHAnsi"/>
        </w:rPr>
        <w:t>Litomyšlská 50, Vysoké Mýto</w:t>
      </w:r>
      <w:r w:rsidR="00C72C5D">
        <w:rPr>
          <w:rFonts w:cstheme="minorHAnsi"/>
        </w:rPr>
        <w:t>.</w:t>
      </w:r>
    </w:p>
    <w:p w14:paraId="7FA659F8" w14:textId="5796B708" w:rsidR="00CA7F44" w:rsidRDefault="00C72C5D" w:rsidP="008F5930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  <w:u w:val="single"/>
        </w:rPr>
        <w:t>E</w:t>
      </w:r>
      <w:r w:rsidR="00CA7F44" w:rsidRPr="007F1C8C">
        <w:rPr>
          <w:rFonts w:cs="Arial"/>
          <w:u w:val="single"/>
        </w:rPr>
        <w:t>lektronicky</w:t>
      </w:r>
      <w:r w:rsidR="00CA7F44">
        <w:rPr>
          <w:rFonts w:cs="Arial"/>
        </w:rPr>
        <w:t xml:space="preserve"> na e-mailovou adresu: </w:t>
      </w:r>
      <w:hyperlink r:id="rId8" w:history="1">
        <w:r w:rsidR="00A4026B" w:rsidRPr="0046669C">
          <w:rPr>
            <w:rStyle w:val="Hypertextovodkaz"/>
            <w:rFonts w:cs="Arial"/>
          </w:rPr>
          <w:t>blanka.voparilova@chnh.hk.caritas.cz</w:t>
        </w:r>
      </w:hyperlink>
    </w:p>
    <w:p w14:paraId="38FDA45A" w14:textId="77777777" w:rsidR="00C72C5D" w:rsidRDefault="00C72C5D" w:rsidP="00C72C5D">
      <w:pPr>
        <w:pStyle w:val="Odstavecseseznamem"/>
        <w:ind w:left="1440"/>
        <w:jc w:val="both"/>
        <w:rPr>
          <w:rFonts w:cs="Arial"/>
        </w:rPr>
      </w:pPr>
    </w:p>
    <w:p w14:paraId="57517562" w14:textId="77777777" w:rsidR="0019648E" w:rsidRPr="00DC7391" w:rsidRDefault="00CA7F44" w:rsidP="008F5930">
      <w:pPr>
        <w:pStyle w:val="Odstavecseseznamem"/>
        <w:numPr>
          <w:ilvl w:val="0"/>
          <w:numId w:val="4"/>
        </w:numPr>
        <w:jc w:val="both"/>
        <w:rPr>
          <w:rFonts w:cs="Arial"/>
          <w:b/>
          <w:u w:val="single"/>
        </w:rPr>
      </w:pPr>
      <w:r w:rsidRPr="00DC7391">
        <w:rPr>
          <w:rFonts w:cs="Arial"/>
          <w:b/>
          <w:u w:val="single"/>
        </w:rPr>
        <w:t>Ústní podání nebo telefonické</w:t>
      </w:r>
    </w:p>
    <w:p w14:paraId="5CF8EACC" w14:textId="4EDCFFF2" w:rsidR="00DC7391" w:rsidRDefault="00DC7391" w:rsidP="008F5930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>Kterémukoliv pracovníkovi PS.</w:t>
      </w:r>
    </w:p>
    <w:p w14:paraId="1F2385CD" w14:textId="2EF08A5D" w:rsidR="0019648E" w:rsidRDefault="0019648E" w:rsidP="008F5930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Stěžovatel, který si stěžuje, je vyslechnut. </w:t>
      </w:r>
    </w:p>
    <w:p w14:paraId="52A6D3CC" w14:textId="5D14BAB3" w:rsidR="0019648E" w:rsidRDefault="0019648E" w:rsidP="008F5930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U </w:t>
      </w:r>
      <w:r w:rsidR="00C72C5D">
        <w:rPr>
          <w:rFonts w:cs="Arial"/>
        </w:rPr>
        <w:t xml:space="preserve">ústního a </w:t>
      </w:r>
      <w:r>
        <w:rPr>
          <w:rFonts w:cs="Arial"/>
        </w:rPr>
        <w:t>telefonického jednání je vyzván</w:t>
      </w:r>
      <w:r w:rsidR="00C72C5D">
        <w:rPr>
          <w:rFonts w:cs="Arial"/>
        </w:rPr>
        <w:t xml:space="preserve"> stěžovatel</w:t>
      </w:r>
      <w:r>
        <w:rPr>
          <w:rFonts w:cs="Arial"/>
        </w:rPr>
        <w:t xml:space="preserve"> k písemné formě stížnosti, pokud je to možné. </w:t>
      </w:r>
    </w:p>
    <w:p w14:paraId="2EAE1909" w14:textId="6C627EF3" w:rsidR="00CA7F44" w:rsidRDefault="0019648E" w:rsidP="008F5930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>
        <w:rPr>
          <w:rFonts w:cs="Arial"/>
        </w:rPr>
        <w:t xml:space="preserve">Pokud taková stížnost není podána písemně nebo není na přání stěžovatele sepsána, sepíše obsah stížnosti příjemce do formuláře pro podávání a řešení stížností </w:t>
      </w:r>
      <w:r w:rsidR="00D97E7B">
        <w:rPr>
          <w:rFonts w:ascii="Calibri" w:hAnsi="Calibri" w:cs="Calibri"/>
        </w:rPr>
        <w:t>(</w:t>
      </w:r>
      <w:r w:rsidR="00D97E7B" w:rsidRPr="00D97E7B">
        <w:rPr>
          <w:rFonts w:ascii="Calibri" w:hAnsi="Calibri" w:cs="Calibri"/>
        </w:rPr>
        <w:t xml:space="preserve">S7 PS </w:t>
      </w:r>
      <w:r w:rsidR="005B7C67">
        <w:rPr>
          <w:rFonts w:ascii="Calibri" w:hAnsi="Calibri" w:cs="Calibri"/>
        </w:rPr>
        <w:t>Příloha č. 2</w:t>
      </w:r>
      <w:r w:rsidR="00D97E7B" w:rsidRPr="00D97E7B">
        <w:rPr>
          <w:rFonts w:ascii="Calibri" w:hAnsi="Calibri" w:cs="Calibri"/>
        </w:rPr>
        <w:t xml:space="preserve"> – Tiskopis řešení stížnosti) </w:t>
      </w:r>
      <w:r>
        <w:rPr>
          <w:rFonts w:cs="Arial"/>
        </w:rPr>
        <w:t xml:space="preserve">a dále předává </w:t>
      </w:r>
      <w:r w:rsidR="001F3840">
        <w:rPr>
          <w:rFonts w:cs="Arial"/>
        </w:rPr>
        <w:t>k dalšímu postupu vedoucímu PS.</w:t>
      </w:r>
    </w:p>
    <w:p w14:paraId="1524F997" w14:textId="633E55F9" w:rsidR="0019648E" w:rsidRDefault="0019648E" w:rsidP="0019648E">
      <w:pPr>
        <w:jc w:val="both"/>
        <w:rPr>
          <w:rFonts w:cs="Arial"/>
        </w:rPr>
      </w:pPr>
    </w:p>
    <w:p w14:paraId="25521336" w14:textId="77777777" w:rsidR="001F3840" w:rsidRPr="00DC7391" w:rsidRDefault="0019648E" w:rsidP="005865D2">
      <w:pPr>
        <w:pStyle w:val="Normlnodsazen1"/>
        <w:ind w:left="284"/>
        <w:jc w:val="both"/>
        <w:rPr>
          <w:rFonts w:ascii="Calibri" w:hAnsi="Calibri" w:cs="Calibri"/>
          <w:b/>
        </w:rPr>
      </w:pPr>
      <w:r w:rsidRPr="00DC7391">
        <w:rPr>
          <w:rFonts w:ascii="Calibri" w:hAnsi="Calibri" w:cs="Calibri"/>
          <w:b/>
        </w:rPr>
        <w:t>Formulář pro podávání a řešení stížností obsahuje</w:t>
      </w:r>
      <w:r w:rsidR="001F3840" w:rsidRPr="00DC7391">
        <w:rPr>
          <w:rFonts w:ascii="Calibri" w:hAnsi="Calibri" w:cs="Calibri"/>
          <w:b/>
        </w:rPr>
        <w:t>:</w:t>
      </w:r>
    </w:p>
    <w:p w14:paraId="2C386A47" w14:textId="77777777" w:rsidR="00B16415" w:rsidRDefault="00B16415" w:rsidP="008F5930">
      <w:pPr>
        <w:pStyle w:val="Normlnodsazen1"/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Evidenční číslo dokumentu,</w:t>
      </w:r>
    </w:p>
    <w:p w14:paraId="52C246CA" w14:textId="2FA01AFF" w:rsidR="001F3840" w:rsidRDefault="001F3840" w:rsidP="008F5930">
      <w:pPr>
        <w:pStyle w:val="Normlnodsazen1"/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1F3840">
        <w:rPr>
          <w:rFonts w:ascii="Calibri" w:hAnsi="Calibri" w:cs="Calibri"/>
        </w:rPr>
        <w:t xml:space="preserve">do </w:t>
      </w:r>
      <w:r w:rsidR="00AE5EDD">
        <w:rPr>
          <w:rFonts w:ascii="Calibri" w:hAnsi="Calibri" w:cs="Calibri"/>
        </w:rPr>
        <w:t>je stěžovatelem, jméno a příjmení stěžovatele,</w:t>
      </w:r>
    </w:p>
    <w:p w14:paraId="5C514FE4" w14:textId="77777777" w:rsidR="00B16415" w:rsidRPr="00B16415" w:rsidRDefault="00AE5EDD" w:rsidP="007B1646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B16415">
        <w:rPr>
          <w:rFonts w:ascii="Calibri" w:hAnsi="Calibri" w:cs="Calibri"/>
        </w:rPr>
        <w:t>kontaktní poštovní adresa stěžovatele,</w:t>
      </w:r>
    </w:p>
    <w:p w14:paraId="6BC3185B" w14:textId="1CDBE5C9" w:rsidR="00B16415" w:rsidRDefault="00B16415" w:rsidP="007B1646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kdo stížnost přijal a datum přijetí,</w:t>
      </w:r>
    </w:p>
    <w:p w14:paraId="3B0AFF26" w14:textId="5A2FB775" w:rsidR="00B16415" w:rsidRPr="00B16415" w:rsidRDefault="00B16415" w:rsidP="007B1646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forma stížnosti (ústní, písemná)</w:t>
      </w:r>
    </w:p>
    <w:p w14:paraId="3203B0D6" w14:textId="2609DA7A" w:rsidR="001F3840" w:rsidRPr="00B16415" w:rsidRDefault="005865D2" w:rsidP="007B1646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B16415">
        <w:rPr>
          <w:rFonts w:asciiTheme="minorHAnsi" w:hAnsiTheme="minorHAnsi" w:cs="Arial"/>
        </w:rPr>
        <w:t>bližší upřesnění či označení události</w:t>
      </w:r>
      <w:r w:rsidR="001F3840" w:rsidRPr="00B16415">
        <w:rPr>
          <w:rFonts w:asciiTheme="minorHAnsi" w:hAnsiTheme="minorHAnsi" w:cs="Arial"/>
        </w:rPr>
        <w:t xml:space="preserve">, </w:t>
      </w:r>
      <w:r w:rsidRPr="00B16415">
        <w:rPr>
          <w:rFonts w:asciiTheme="minorHAnsi" w:hAnsiTheme="minorHAnsi" w:cs="Arial"/>
        </w:rPr>
        <w:t xml:space="preserve">konkrétní popis události, okolnosti nebo jednání, které </w:t>
      </w:r>
      <w:r w:rsidR="001F3840" w:rsidRPr="00B16415">
        <w:rPr>
          <w:rFonts w:asciiTheme="minorHAnsi" w:hAnsiTheme="minorHAnsi" w:cs="Arial"/>
        </w:rPr>
        <w:t>stěžovatel svým podáním napadá (výpověď stěžovatele obsahuje konkrétní výroky),</w:t>
      </w:r>
    </w:p>
    <w:p w14:paraId="72C15995" w14:textId="739DE150" w:rsidR="001F3840" w:rsidRDefault="005865D2" w:rsidP="008F5930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 w:rsidRPr="005865D2">
        <w:rPr>
          <w:rFonts w:asciiTheme="minorHAnsi" w:hAnsiTheme="minorHAnsi" w:cs="Arial"/>
        </w:rPr>
        <w:t>označení konkrétních osob, které se podle mínění stěžovatele dopustily chybného, nesprávného nebo protiprávního jednání,</w:t>
      </w:r>
    </w:p>
    <w:p w14:paraId="0AD9A3CA" w14:textId="617DAD1F" w:rsidR="00B16415" w:rsidRDefault="00B16415" w:rsidP="008F5930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hodnocení stížnosti, jména pracovníků, kteří se budou na řešení podílet, jejich podpisy,</w:t>
      </w:r>
    </w:p>
    <w:p w14:paraId="44895E07" w14:textId="0B70C745" w:rsidR="00B16415" w:rsidRDefault="00B16415" w:rsidP="008F5930">
      <w:pPr>
        <w:pStyle w:val="Normlnodsazen1"/>
        <w:numPr>
          <w:ilvl w:val="0"/>
          <w:numId w:val="1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termín předpokládaného řešení, jeho zdůvodnění, datum uzavření,</w:t>
      </w:r>
    </w:p>
    <w:p w14:paraId="600976FE" w14:textId="4667D58C" w:rsidR="005865D2" w:rsidRDefault="005865D2" w:rsidP="008F5930">
      <w:pPr>
        <w:pStyle w:val="Normlnodsazen1"/>
        <w:numPr>
          <w:ilvl w:val="0"/>
          <w:numId w:val="14"/>
        </w:numPr>
        <w:jc w:val="both"/>
        <w:rPr>
          <w:rFonts w:ascii="Calibri" w:hAnsi="Calibri" w:cs="Arial"/>
        </w:rPr>
      </w:pPr>
      <w:r w:rsidRPr="005865D2">
        <w:rPr>
          <w:rFonts w:ascii="Calibri" w:hAnsi="Calibri" w:cs="Arial"/>
        </w:rPr>
        <w:t>podpis stěžovatele (v případě listinné formy písemné stížnosti)</w:t>
      </w:r>
      <w:r w:rsidR="00AE5EDD">
        <w:rPr>
          <w:rFonts w:ascii="Calibri" w:hAnsi="Calibri" w:cs="Arial"/>
        </w:rPr>
        <w:t>,</w:t>
      </w:r>
    </w:p>
    <w:p w14:paraId="1878401E" w14:textId="05BF882A" w:rsidR="00AE5EDD" w:rsidRDefault="007E228D" w:rsidP="008F5930">
      <w:pPr>
        <w:pStyle w:val="Normlnodsazen1"/>
        <w:numPr>
          <w:ilvl w:val="0"/>
          <w:numId w:val="1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případně </w:t>
      </w:r>
      <w:r w:rsidR="00AE5EDD">
        <w:rPr>
          <w:rFonts w:ascii="Calibri" w:hAnsi="Calibri" w:cs="Arial"/>
        </w:rPr>
        <w:t>přílohou písemný souhlas uživatele se šetřením stížnosti (plná moc bez úředně ověřeného podpisu)</w:t>
      </w:r>
      <w:r>
        <w:rPr>
          <w:rFonts w:ascii="Calibri" w:hAnsi="Calibri" w:cs="Arial"/>
        </w:rPr>
        <w:t>, pokud dochází k podání stížnosti jinou osobou než uživatelem.</w:t>
      </w:r>
    </w:p>
    <w:p w14:paraId="436AC4EB" w14:textId="72114655" w:rsidR="007962CC" w:rsidRDefault="007962CC" w:rsidP="007962CC">
      <w:pPr>
        <w:pStyle w:val="Normlnodsazen1"/>
        <w:ind w:left="360"/>
        <w:jc w:val="both"/>
        <w:rPr>
          <w:rFonts w:ascii="Calibri" w:hAnsi="Calibri" w:cs="Arial"/>
        </w:rPr>
      </w:pPr>
    </w:p>
    <w:p w14:paraId="438A9561" w14:textId="77777777" w:rsidR="00DC7391" w:rsidRPr="007B4508" w:rsidRDefault="00DC7391" w:rsidP="00DC7391">
      <w:pPr>
        <w:pStyle w:val="Stnosti"/>
        <w:rPr>
          <w:rFonts w:ascii="Calibri" w:hAnsi="Calibri" w:cs="Calibri"/>
        </w:rPr>
      </w:pPr>
      <w:bookmarkStart w:id="265" w:name="_Toc257974481"/>
      <w:r w:rsidRPr="007B4508">
        <w:rPr>
          <w:rFonts w:ascii="Calibri" w:hAnsi="Calibri" w:cs="Calibri"/>
        </w:rPr>
        <w:t>Evidence stížnosti</w:t>
      </w:r>
      <w:bookmarkEnd w:id="265"/>
    </w:p>
    <w:p w14:paraId="07CF8194" w14:textId="4DD5BDCE" w:rsidR="00DC7391" w:rsidRPr="007B4508" w:rsidRDefault="00DC7391" w:rsidP="008F5930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7B4508">
        <w:rPr>
          <w:rFonts w:ascii="Calibri" w:hAnsi="Calibri" w:cs="Calibri"/>
        </w:rPr>
        <w:t xml:space="preserve">Všechny stížnosti stěžovatelů jsou </w:t>
      </w:r>
      <w:r w:rsidR="007B4508" w:rsidRPr="007B4508">
        <w:rPr>
          <w:rFonts w:ascii="Calibri" w:hAnsi="Calibri" w:cs="Calibri"/>
        </w:rPr>
        <w:t xml:space="preserve">evidovány vedoucím PS nebo jiným pověřeným pracovníkem (sociální pracovnicí) </w:t>
      </w:r>
      <w:r w:rsidRPr="007B4508">
        <w:rPr>
          <w:rFonts w:ascii="Calibri" w:hAnsi="Calibri" w:cs="Calibri"/>
        </w:rPr>
        <w:t>v elektronickém dokumentu „Evidence stížností“.</w:t>
      </w:r>
      <w:r w:rsidR="007B4508" w:rsidRPr="007B4508">
        <w:rPr>
          <w:rFonts w:ascii="Calibri" w:hAnsi="Calibri" w:cs="Calibri"/>
        </w:rPr>
        <w:t xml:space="preserve"> Dokumenty týkající se agendy stížností do šanonu „Stížnosti“ v kanceláři vedoucího PS.</w:t>
      </w:r>
    </w:p>
    <w:p w14:paraId="4F15EFD8" w14:textId="79802872" w:rsidR="007B4508" w:rsidRPr="007B4508" w:rsidRDefault="007B4508" w:rsidP="008F5930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</w:rPr>
      </w:pPr>
      <w:r w:rsidRPr="007B4508">
        <w:rPr>
          <w:rFonts w:ascii="Calibri" w:hAnsi="Calibri" w:cs="Calibri"/>
        </w:rPr>
        <w:t>Pověřený pracovník sleduje vyřízení stížnosti v daném termínu  a splnění povinností příslušných pracovníků PS.</w:t>
      </w:r>
    </w:p>
    <w:p w14:paraId="77525B8E" w14:textId="7A482F23" w:rsidR="007B4508" w:rsidRPr="007B4508" w:rsidRDefault="007B4508" w:rsidP="008F5930">
      <w:pPr>
        <w:pStyle w:val="Odstavecseseznamem"/>
        <w:numPr>
          <w:ilvl w:val="0"/>
          <w:numId w:val="7"/>
        </w:numPr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V případě podání stížnosti anonymní</w:t>
      </w:r>
      <w:r w:rsidR="002C6CFC">
        <w:rPr>
          <w:rFonts w:ascii="Calibri" w:hAnsi="Calibri" w:cs="Calibri"/>
          <w:color w:val="000000"/>
        </w:rPr>
        <w:t xml:space="preserve"> - podnětu</w:t>
      </w:r>
      <w:r w:rsidRPr="007B4508">
        <w:rPr>
          <w:rFonts w:ascii="Calibri" w:hAnsi="Calibri" w:cs="Calibri"/>
          <w:color w:val="000000"/>
        </w:rPr>
        <w:t>, obsahuje evidence jen údaje dostupné.</w:t>
      </w:r>
    </w:p>
    <w:p w14:paraId="6D4630FB" w14:textId="469D0366" w:rsidR="007B4508" w:rsidRPr="007B4508" w:rsidRDefault="007B4508" w:rsidP="007B4508">
      <w:pPr>
        <w:suppressAutoHyphens w:val="0"/>
        <w:ind w:left="720"/>
        <w:jc w:val="both"/>
        <w:rPr>
          <w:rFonts w:ascii="Calibri" w:hAnsi="Calibri" w:cs="Calibri"/>
        </w:rPr>
      </w:pPr>
    </w:p>
    <w:p w14:paraId="38D1EE5E" w14:textId="775A55FA" w:rsidR="007B4508" w:rsidRPr="007B4508" w:rsidRDefault="007B4508" w:rsidP="007B4508">
      <w:pPr>
        <w:ind w:firstLine="360"/>
        <w:jc w:val="both"/>
        <w:rPr>
          <w:rFonts w:ascii="Calibri" w:hAnsi="Calibri" w:cs="Calibri"/>
          <w:b/>
          <w:color w:val="000000"/>
        </w:rPr>
      </w:pPr>
      <w:r w:rsidRPr="007B4508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>vidence obsahuje</w:t>
      </w:r>
      <w:r w:rsidRPr="007B4508">
        <w:rPr>
          <w:rFonts w:ascii="Calibri" w:hAnsi="Calibri" w:cs="Calibri"/>
          <w:b/>
          <w:color w:val="000000"/>
        </w:rPr>
        <w:t xml:space="preserve"> údaje:  </w:t>
      </w:r>
    </w:p>
    <w:p w14:paraId="68B25640" w14:textId="7066FD07" w:rsidR="007B4508" w:rsidRPr="007B4508" w:rsidRDefault="007B4508" w:rsidP="008F5930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datum podání,</w:t>
      </w:r>
    </w:p>
    <w:p w14:paraId="1CA3C7BE" w14:textId="77777777" w:rsidR="007B4508" w:rsidRPr="007B4508" w:rsidRDefault="007B4508" w:rsidP="008F5930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jméno a příjmení stěžovatele,</w:t>
      </w:r>
    </w:p>
    <w:p w14:paraId="52328C7A" w14:textId="0F34FD0E" w:rsidR="007B4508" w:rsidRPr="007B4508" w:rsidRDefault="007B4508" w:rsidP="008F5930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předmět stížnosti</w:t>
      </w:r>
      <w:r w:rsidR="002C6CFC">
        <w:rPr>
          <w:rFonts w:ascii="Calibri" w:hAnsi="Calibri" w:cs="Calibri"/>
          <w:color w:val="000000"/>
        </w:rPr>
        <w:t>/podnětu</w:t>
      </w:r>
      <w:r w:rsidRPr="007B4508">
        <w:rPr>
          <w:rFonts w:ascii="Calibri" w:hAnsi="Calibri" w:cs="Calibri"/>
          <w:color w:val="000000"/>
        </w:rPr>
        <w:t xml:space="preserve"> a proti komu stížnost směřuje,</w:t>
      </w:r>
      <w:r w:rsidR="002C6CFC">
        <w:rPr>
          <w:rFonts w:ascii="Calibri" w:hAnsi="Calibri" w:cs="Calibri"/>
          <w:color w:val="000000"/>
        </w:rPr>
        <w:t xml:space="preserve"> čeho se týká,</w:t>
      </w:r>
    </w:p>
    <w:p w14:paraId="784416F5" w14:textId="6D47C33A" w:rsidR="007B4508" w:rsidRPr="007B4508" w:rsidRDefault="007B4508" w:rsidP="008F5930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komu byla stížnost předána k prošetření nebo vyřízení,</w:t>
      </w:r>
      <w:r w:rsidR="002C6CFC">
        <w:rPr>
          <w:rFonts w:ascii="Calibri" w:hAnsi="Calibri" w:cs="Calibri"/>
          <w:color w:val="000000"/>
        </w:rPr>
        <w:t xml:space="preserve"> </w:t>
      </w:r>
    </w:p>
    <w:p w14:paraId="6731B1C2" w14:textId="77777777" w:rsidR="007B4508" w:rsidRPr="007B4508" w:rsidRDefault="007B4508" w:rsidP="008F5930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vyhodnocení stížnosti (její oprávněnost, časovou oprávněnost či neoprávněnost),</w:t>
      </w:r>
    </w:p>
    <w:p w14:paraId="798ACD62" w14:textId="180A736A" w:rsidR="007B4508" w:rsidRPr="007B4508" w:rsidRDefault="007B4508" w:rsidP="008F5930">
      <w:pPr>
        <w:numPr>
          <w:ilvl w:val="0"/>
          <w:numId w:val="9"/>
        </w:numPr>
        <w:suppressAutoHyphens w:val="0"/>
        <w:jc w:val="both"/>
        <w:rPr>
          <w:rFonts w:ascii="Calibri" w:hAnsi="Calibri" w:cs="Calibri"/>
          <w:color w:val="000000"/>
        </w:rPr>
      </w:pPr>
      <w:r w:rsidRPr="007B4508">
        <w:rPr>
          <w:rFonts w:ascii="Calibri" w:hAnsi="Calibri" w:cs="Calibri"/>
          <w:color w:val="000000"/>
        </w:rPr>
        <w:t>záznam o datu odeslání odpovědi stěžovateli/vyřízení stížnosti.</w:t>
      </w:r>
    </w:p>
    <w:p w14:paraId="5CF62E33" w14:textId="77777777" w:rsidR="007B4508" w:rsidRPr="0048509C" w:rsidRDefault="007B4508" w:rsidP="007B4508">
      <w:pPr>
        <w:jc w:val="both"/>
        <w:rPr>
          <w:color w:val="4472C4"/>
        </w:rPr>
      </w:pPr>
    </w:p>
    <w:p w14:paraId="6794AFF5" w14:textId="0D5DF592" w:rsidR="006F0B12" w:rsidRPr="003D7BA7" w:rsidRDefault="006F0B12" w:rsidP="006F0B12">
      <w:pPr>
        <w:ind w:left="284" w:hanging="284"/>
        <w:jc w:val="both"/>
        <w:rPr>
          <w:rFonts w:asciiTheme="minorHAnsi" w:hAnsiTheme="minorHAnsi" w:cs="Arial"/>
          <w:b/>
        </w:rPr>
      </w:pPr>
      <w:r w:rsidRPr="006F0B12">
        <w:rPr>
          <w:rFonts w:asciiTheme="minorHAnsi" w:hAnsiTheme="minorHAnsi" w:cs="Arial"/>
          <w:b/>
        </w:rPr>
        <w:t xml:space="preserve">Kdo </w:t>
      </w:r>
      <w:r w:rsidRPr="003D7BA7">
        <w:rPr>
          <w:rFonts w:asciiTheme="minorHAnsi" w:hAnsiTheme="minorHAnsi" w:cs="Arial"/>
          <w:b/>
        </w:rPr>
        <w:t>stížnost vyřizuje:</w:t>
      </w:r>
    </w:p>
    <w:p w14:paraId="74539C47" w14:textId="77777777" w:rsidR="007B4508" w:rsidRPr="003D7BA7" w:rsidRDefault="00423702" w:rsidP="008F5930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D7BA7">
        <w:rPr>
          <w:rFonts w:cs="Arial"/>
        </w:rPr>
        <w:t>Stížnosti projednává pracovník pověřený řešením – řešitel, který k projednání zve případně i další pracovníky, kteří se na projednání a řešen stížnosti podílí.</w:t>
      </w:r>
      <w:r w:rsidR="007B4508" w:rsidRPr="003D7BA7">
        <w:rPr>
          <w:rFonts w:cs="Arial"/>
        </w:rPr>
        <w:t xml:space="preserve"> </w:t>
      </w:r>
    </w:p>
    <w:p w14:paraId="731FD854" w14:textId="34AD383F" w:rsidR="00E069CF" w:rsidRPr="007B4508" w:rsidRDefault="00E069CF" w:rsidP="008F5930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 w:rsidRPr="003D7BA7">
        <w:rPr>
          <w:rFonts w:cstheme="minorHAnsi"/>
        </w:rPr>
        <w:t xml:space="preserve">Základním pravidlem </w:t>
      </w:r>
      <w:r w:rsidR="00FB009C" w:rsidRPr="003D7BA7">
        <w:rPr>
          <w:rFonts w:cstheme="minorHAnsi"/>
        </w:rPr>
        <w:t>je, že stížnost musí prověřovat pracovník nadřízený tom</w:t>
      </w:r>
      <w:r w:rsidR="00C72C5D" w:rsidRPr="003D7BA7">
        <w:rPr>
          <w:rFonts w:cstheme="minorHAnsi"/>
        </w:rPr>
        <w:t>u, proti němuž stížnost směřuje (</w:t>
      </w:r>
      <w:r w:rsidR="007B4508" w:rsidRPr="003D7BA7">
        <w:rPr>
          <w:rFonts w:cstheme="minorHAnsi"/>
        </w:rPr>
        <w:t xml:space="preserve">vedoucí PS, </w:t>
      </w:r>
      <w:r w:rsidR="00C72C5D" w:rsidRPr="003D7BA7">
        <w:rPr>
          <w:rFonts w:cstheme="minorHAnsi"/>
        </w:rPr>
        <w:t>sociální</w:t>
      </w:r>
      <w:r w:rsidR="00C72C5D" w:rsidRPr="007B4508">
        <w:rPr>
          <w:rFonts w:cstheme="minorHAnsi"/>
        </w:rPr>
        <w:t xml:space="preserve"> pracovník, </w:t>
      </w:r>
      <w:r w:rsidR="007B4508" w:rsidRPr="007B4508">
        <w:rPr>
          <w:rFonts w:cstheme="minorHAnsi"/>
        </w:rPr>
        <w:t xml:space="preserve">vedoucí </w:t>
      </w:r>
      <w:r w:rsidR="00C72C5D" w:rsidRPr="007B4508">
        <w:rPr>
          <w:rFonts w:cstheme="minorHAnsi"/>
        </w:rPr>
        <w:t>pracovníci jednotlivých úseků služby).</w:t>
      </w:r>
    </w:p>
    <w:p w14:paraId="756FA349" w14:textId="71EB837A" w:rsidR="00466CF5" w:rsidRPr="00DC7391" w:rsidRDefault="00466CF5" w:rsidP="008F5930">
      <w:pPr>
        <w:pStyle w:val="Odstavecseseznamem"/>
        <w:numPr>
          <w:ilvl w:val="0"/>
          <w:numId w:val="5"/>
        </w:numPr>
        <w:jc w:val="both"/>
        <w:rPr>
          <w:rFonts w:cs="Arial"/>
        </w:rPr>
      </w:pPr>
      <w:r w:rsidRPr="00DC7391">
        <w:rPr>
          <w:rFonts w:cs="Arial"/>
        </w:rPr>
        <w:t>Pracovník, který je poskytovatelem pověřen šetřením stížnosti</w:t>
      </w:r>
      <w:r w:rsidR="006F0B12" w:rsidRPr="00DC7391">
        <w:rPr>
          <w:rFonts w:cs="Arial"/>
        </w:rPr>
        <w:t xml:space="preserve"> </w:t>
      </w:r>
      <w:r w:rsidRPr="00DC7391">
        <w:rPr>
          <w:rFonts w:cs="Arial"/>
        </w:rPr>
        <w:t>je po</w:t>
      </w:r>
      <w:r w:rsidR="007F0821" w:rsidRPr="00DC7391">
        <w:rPr>
          <w:rFonts w:cs="Arial"/>
        </w:rPr>
        <w:t>vinen zjistit všechny podstatné</w:t>
      </w:r>
      <w:r w:rsidR="009B433B" w:rsidRPr="00DC7391">
        <w:rPr>
          <w:rFonts w:cs="Arial"/>
        </w:rPr>
        <w:t xml:space="preserve"> </w:t>
      </w:r>
      <w:r w:rsidRPr="00DC7391">
        <w:rPr>
          <w:rFonts w:cs="Arial"/>
        </w:rPr>
        <w:t>skutečnosti a okolnosti týkající se podané stížnosti. Může tak učinit tel</w:t>
      </w:r>
      <w:r w:rsidR="007F0821" w:rsidRPr="00DC7391">
        <w:rPr>
          <w:rFonts w:cs="Arial"/>
        </w:rPr>
        <w:t xml:space="preserve">efonicky, uskutečnit návštěvu </w:t>
      </w:r>
      <w:r w:rsidRPr="00DC7391">
        <w:rPr>
          <w:rFonts w:cs="Arial"/>
        </w:rPr>
        <w:t>uživatele s cílem zjistit veškeré souvislosti nezbytné k vyřešení stížnosti, pří</w:t>
      </w:r>
      <w:r w:rsidR="007F0821" w:rsidRPr="00DC7391">
        <w:rPr>
          <w:rFonts w:cs="Arial"/>
        </w:rPr>
        <w:t>padně domluvit společné setkání</w:t>
      </w:r>
      <w:r w:rsidR="009B433B" w:rsidRPr="00DC7391">
        <w:rPr>
          <w:rFonts w:cs="Arial"/>
        </w:rPr>
        <w:t xml:space="preserve"> </w:t>
      </w:r>
      <w:r w:rsidRPr="00DC7391">
        <w:rPr>
          <w:rFonts w:cs="Arial"/>
        </w:rPr>
        <w:t>zúčastněných stran.</w:t>
      </w:r>
    </w:p>
    <w:p w14:paraId="454312EE" w14:textId="77777777" w:rsidR="00002B05" w:rsidRPr="00002B05" w:rsidRDefault="006F0B12" w:rsidP="008F5930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 w:rsidRPr="00002B05">
        <w:rPr>
          <w:rFonts w:cs="Arial"/>
        </w:rPr>
        <w:t>V případě, že stížnost bude směřovat proti pracovníkovi, který je sou</w:t>
      </w:r>
      <w:r w:rsidR="007F0821" w:rsidRPr="00002B05">
        <w:rPr>
          <w:rFonts w:cs="Arial"/>
        </w:rPr>
        <w:t>časně odpovědnou osobou za její</w:t>
      </w:r>
      <w:r w:rsidR="001F6A76" w:rsidRPr="00002B05">
        <w:rPr>
          <w:rFonts w:cs="Arial"/>
        </w:rPr>
        <w:t xml:space="preserve"> </w:t>
      </w:r>
      <w:r w:rsidRPr="00002B05">
        <w:rPr>
          <w:rFonts w:cs="Arial"/>
        </w:rPr>
        <w:t>vyřízení, musí být stížnost neprodleně postoupena nadřízenému pracovníkovi, aby nedošlo ke střetu zájmů.</w:t>
      </w:r>
      <w:r w:rsidR="00002B05">
        <w:rPr>
          <w:rFonts w:cs="Arial"/>
        </w:rPr>
        <w:t xml:space="preserve"> </w:t>
      </w:r>
    </w:p>
    <w:p w14:paraId="1C2C5368" w14:textId="4E304466" w:rsidR="00002B05" w:rsidRPr="00002B05" w:rsidRDefault="00002B05" w:rsidP="008F5930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</w:rPr>
      </w:pPr>
      <w:r w:rsidRPr="00002B05">
        <w:rPr>
          <w:rFonts w:ascii="Calibri" w:hAnsi="Calibri" w:cs="Calibri"/>
        </w:rPr>
        <w:t xml:space="preserve">Stížnost směřovaná proti vedoucímu služby nebo sociálnímu pracovníkovi, musí být stížnost postoupena </w:t>
      </w:r>
      <w:r>
        <w:rPr>
          <w:rFonts w:ascii="Calibri" w:hAnsi="Calibri" w:cs="Calibri"/>
        </w:rPr>
        <w:t xml:space="preserve">ředitelce. </w:t>
      </w:r>
      <w:r w:rsidRPr="00002B05">
        <w:rPr>
          <w:rFonts w:ascii="Calibri" w:hAnsi="Calibri" w:cs="Calibri"/>
        </w:rPr>
        <w:t>Pokud jde o stížno</w:t>
      </w:r>
      <w:r>
        <w:rPr>
          <w:rFonts w:ascii="Calibri" w:hAnsi="Calibri" w:cs="Calibri"/>
        </w:rPr>
        <w:t>st na ředitelku, řeší tuto stížnost ředitelka</w:t>
      </w:r>
      <w:r w:rsidRPr="00002B05">
        <w:rPr>
          <w:rFonts w:ascii="Calibri" w:hAnsi="Calibri" w:cs="Calibri"/>
        </w:rPr>
        <w:t xml:space="preserve"> DCHHK.</w:t>
      </w:r>
    </w:p>
    <w:p w14:paraId="77778589" w14:textId="77777777" w:rsidR="00002B05" w:rsidRPr="00002B05" w:rsidRDefault="00002B05" w:rsidP="00002B05">
      <w:pPr>
        <w:ind w:left="360"/>
        <w:jc w:val="both"/>
        <w:rPr>
          <w:rFonts w:cs="Arial"/>
        </w:rPr>
      </w:pPr>
    </w:p>
    <w:p w14:paraId="6BDDAA4D" w14:textId="77777777" w:rsidR="006F0B12" w:rsidRDefault="006F0B12" w:rsidP="006F0B12">
      <w:pPr>
        <w:ind w:left="284" w:hanging="284"/>
        <w:jc w:val="both"/>
        <w:rPr>
          <w:rFonts w:asciiTheme="minorHAnsi" w:hAnsiTheme="minorHAnsi" w:cs="Arial"/>
        </w:rPr>
      </w:pPr>
    </w:p>
    <w:p w14:paraId="1E87B239" w14:textId="2D672248" w:rsidR="006F0B12" w:rsidRPr="003D7BA7" w:rsidRDefault="008413DA" w:rsidP="00466CF5">
      <w:pPr>
        <w:ind w:left="284" w:hanging="284"/>
        <w:jc w:val="both"/>
        <w:rPr>
          <w:rFonts w:asciiTheme="minorHAnsi" w:hAnsiTheme="minorHAnsi" w:cs="Arial"/>
          <w:b/>
        </w:rPr>
      </w:pPr>
      <w:r w:rsidRPr="003D7BA7">
        <w:rPr>
          <w:rFonts w:asciiTheme="minorHAnsi" w:hAnsiTheme="minorHAnsi" w:cs="Arial"/>
          <w:b/>
        </w:rPr>
        <w:t>Vyřízení</w:t>
      </w:r>
      <w:r w:rsidR="000E4A18" w:rsidRPr="003D7BA7">
        <w:rPr>
          <w:rFonts w:asciiTheme="minorHAnsi" w:hAnsiTheme="minorHAnsi" w:cs="Arial"/>
          <w:b/>
        </w:rPr>
        <w:t xml:space="preserve"> stížnosti</w:t>
      </w:r>
    </w:p>
    <w:p w14:paraId="2A916139" w14:textId="6766CF7C" w:rsidR="00CC2E45" w:rsidRPr="003D7BA7" w:rsidRDefault="00CC2E45" w:rsidP="008F5930">
      <w:pPr>
        <w:pStyle w:val="Zkladntextodsazen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D7BA7">
        <w:rPr>
          <w:rFonts w:ascii="Calibri" w:hAnsi="Calibri" w:cs="Calibri"/>
          <w:sz w:val="24"/>
          <w:szCs w:val="24"/>
        </w:rPr>
        <w:t>Zaevidovanou stížnost předává k vyřízení ředitelka OCHNH zpravidla vedoucímu pracovníkovi, v jehož kompetenci jsou kritizované skutečnosti.</w:t>
      </w:r>
    </w:p>
    <w:p w14:paraId="09F14EFA" w14:textId="19AAB183" w:rsidR="00423702" w:rsidRPr="003D7BA7" w:rsidRDefault="00B276C5" w:rsidP="008F5930">
      <w:pPr>
        <w:pStyle w:val="Zkladntextodsazen2"/>
        <w:numPr>
          <w:ilvl w:val="0"/>
          <w:numId w:val="8"/>
        </w:numPr>
        <w:jc w:val="both"/>
        <w:rPr>
          <w:rFonts w:ascii="Calibri" w:hAnsi="Calibri" w:cs="Calibri"/>
          <w:sz w:val="24"/>
          <w:szCs w:val="24"/>
        </w:rPr>
      </w:pPr>
      <w:r w:rsidRPr="003D7BA7">
        <w:rPr>
          <w:rFonts w:ascii="Calibri" w:hAnsi="Calibri" w:cs="Calibri"/>
          <w:sz w:val="24"/>
          <w:szCs w:val="24"/>
        </w:rPr>
        <w:t>Řešitel zjišťuje</w:t>
      </w:r>
      <w:r w:rsidR="00423702" w:rsidRPr="003D7BA7">
        <w:rPr>
          <w:rFonts w:ascii="Calibri" w:hAnsi="Calibri" w:cs="Calibri"/>
          <w:sz w:val="24"/>
          <w:szCs w:val="24"/>
        </w:rPr>
        <w:t xml:space="preserve"> dotazováním, pozorováním a studiem dokumentace všechny okolnosti </w:t>
      </w:r>
      <w:r w:rsidR="003D7BA7">
        <w:rPr>
          <w:rFonts w:ascii="Calibri" w:hAnsi="Calibri" w:cs="Calibri"/>
          <w:sz w:val="24"/>
          <w:szCs w:val="24"/>
        </w:rPr>
        <w:t xml:space="preserve">stížnosti. </w:t>
      </w:r>
      <w:r w:rsidR="00423702" w:rsidRPr="003D7BA7">
        <w:rPr>
          <w:rFonts w:ascii="Calibri" w:hAnsi="Calibri" w:cs="Calibri"/>
          <w:sz w:val="24"/>
          <w:szCs w:val="24"/>
        </w:rPr>
        <w:t>V případě, že zjistí pochybnosti, prodiskutuje je s ředitelkou a ta rozhodne, zda se jedn</w:t>
      </w:r>
      <w:r w:rsidR="003D7BA7">
        <w:rPr>
          <w:rFonts w:ascii="Calibri" w:hAnsi="Calibri" w:cs="Calibri"/>
          <w:sz w:val="24"/>
          <w:szCs w:val="24"/>
        </w:rPr>
        <w:t xml:space="preserve">á o stížnost </w:t>
      </w:r>
      <w:r w:rsidR="00423702" w:rsidRPr="003D7BA7">
        <w:rPr>
          <w:rFonts w:ascii="Calibri" w:hAnsi="Calibri" w:cs="Calibri"/>
          <w:b/>
          <w:sz w:val="24"/>
          <w:szCs w:val="24"/>
        </w:rPr>
        <w:t>oprávněnou</w:t>
      </w:r>
      <w:r w:rsidR="00423702" w:rsidRPr="003D7BA7">
        <w:rPr>
          <w:rFonts w:ascii="Calibri" w:hAnsi="Calibri" w:cs="Calibri"/>
          <w:sz w:val="24"/>
          <w:szCs w:val="24"/>
        </w:rPr>
        <w:t>. Je-li stížnost oprávněná</w:t>
      </w:r>
      <w:r w:rsidR="00423702" w:rsidRPr="003D7BA7">
        <w:rPr>
          <w:rFonts w:ascii="Calibri" w:hAnsi="Calibri" w:cs="Calibri"/>
          <w:b/>
          <w:sz w:val="24"/>
          <w:szCs w:val="24"/>
        </w:rPr>
        <w:t>,</w:t>
      </w:r>
      <w:r w:rsidR="00423702" w:rsidRPr="003D7BA7">
        <w:rPr>
          <w:rFonts w:ascii="Calibri" w:hAnsi="Calibri" w:cs="Calibri"/>
          <w:sz w:val="24"/>
          <w:szCs w:val="24"/>
        </w:rPr>
        <w:t xml:space="preserve"> nařídí k situaci ve spolupráci s řešitelem nápravná opatření. Jedná-li se o stížnost </w:t>
      </w:r>
      <w:r w:rsidR="00423702" w:rsidRPr="003D7BA7">
        <w:rPr>
          <w:rFonts w:ascii="Calibri" w:hAnsi="Calibri" w:cs="Calibri"/>
          <w:b/>
          <w:sz w:val="24"/>
          <w:szCs w:val="24"/>
        </w:rPr>
        <w:t>neoprávněnou</w:t>
      </w:r>
      <w:r w:rsidR="00423702" w:rsidRPr="003D7BA7">
        <w:rPr>
          <w:rFonts w:ascii="Calibri" w:hAnsi="Calibri" w:cs="Calibri"/>
          <w:sz w:val="24"/>
          <w:szCs w:val="24"/>
        </w:rPr>
        <w:t>, stížnost zamítne a toto rozhodnutí odůvodní. Podklady pro zamítnutí stížnosti předává ředitelce řešitel.</w:t>
      </w:r>
    </w:p>
    <w:p w14:paraId="0EE0B42F" w14:textId="28062CCD" w:rsidR="00423702" w:rsidRPr="003D7BA7" w:rsidRDefault="00423702" w:rsidP="008F5930">
      <w:pPr>
        <w:pStyle w:val="Zkladntextodsazen"/>
        <w:numPr>
          <w:ilvl w:val="0"/>
          <w:numId w:val="6"/>
        </w:numPr>
        <w:spacing w:after="0"/>
        <w:ind w:left="714" w:hanging="357"/>
        <w:jc w:val="both"/>
        <w:rPr>
          <w:rFonts w:ascii="Calibri" w:hAnsi="Calibri" w:cs="Calibri"/>
        </w:rPr>
      </w:pPr>
      <w:r w:rsidRPr="003D7BA7">
        <w:rPr>
          <w:rFonts w:ascii="Calibri" w:hAnsi="Calibri" w:cs="Calibri"/>
        </w:rPr>
        <w:t xml:space="preserve">Pokud stížnost je </w:t>
      </w:r>
      <w:r w:rsidR="00B276C5" w:rsidRPr="003D7BA7">
        <w:rPr>
          <w:rFonts w:ascii="Calibri" w:hAnsi="Calibri" w:cs="Calibri"/>
        </w:rPr>
        <w:t>třeba projednat na poradě PS</w:t>
      </w:r>
      <w:r w:rsidRPr="003D7BA7">
        <w:rPr>
          <w:rFonts w:ascii="Calibri" w:hAnsi="Calibri" w:cs="Calibri"/>
        </w:rPr>
        <w:t xml:space="preserve">, </w:t>
      </w:r>
      <w:r w:rsidR="00B276C5" w:rsidRPr="003D7BA7">
        <w:rPr>
          <w:rFonts w:ascii="Calibri" w:hAnsi="Calibri" w:cs="Calibri"/>
        </w:rPr>
        <w:t xml:space="preserve"> </w:t>
      </w:r>
      <w:r w:rsidRPr="003D7BA7">
        <w:rPr>
          <w:rFonts w:ascii="Calibri" w:hAnsi="Calibri" w:cs="Calibri"/>
        </w:rPr>
        <w:t>je tak učiněno v nejbližším termínu porady, v p</w:t>
      </w:r>
      <w:r w:rsidR="00B276C5" w:rsidRPr="003D7BA7">
        <w:rPr>
          <w:rFonts w:ascii="Calibri" w:hAnsi="Calibri" w:cs="Calibri"/>
        </w:rPr>
        <w:t>řípadě její naléhavosti, ředitelka nebo vedoucí služby</w:t>
      </w:r>
      <w:r w:rsidRPr="003D7BA7">
        <w:rPr>
          <w:rFonts w:ascii="Calibri" w:hAnsi="Calibri" w:cs="Calibri"/>
        </w:rPr>
        <w:t xml:space="preserve"> svolává poradu operativní. Způsob a výsledek projednání stížnosti je zaznamenán v zápisu z porady s ohledem k osobním a citlivým údajům všech zúčastněných.</w:t>
      </w:r>
    </w:p>
    <w:p w14:paraId="3F5AF6D7" w14:textId="37A81BA0" w:rsidR="00CC2E45" w:rsidRPr="00CC2E45" w:rsidRDefault="00CC2E45" w:rsidP="008F5930">
      <w:pPr>
        <w:numPr>
          <w:ilvl w:val="0"/>
          <w:numId w:val="6"/>
        </w:numPr>
        <w:suppressAutoHyphens w:val="0"/>
        <w:ind w:left="714" w:hanging="357"/>
        <w:jc w:val="both"/>
        <w:rPr>
          <w:rFonts w:asciiTheme="minorHAnsi" w:hAnsiTheme="minorHAnsi" w:cstheme="minorHAnsi"/>
          <w:color w:val="000000"/>
        </w:rPr>
      </w:pPr>
      <w:r w:rsidRPr="00CC2E45">
        <w:rPr>
          <w:rFonts w:asciiTheme="minorHAnsi" w:hAnsiTheme="minorHAnsi" w:cstheme="minorHAnsi"/>
          <w:color w:val="000000"/>
        </w:rPr>
        <w:lastRenderedPageBreak/>
        <w:t xml:space="preserve">Pokud se stížností nebude zabývat ředitelka OCHNH osobně, řešitel je povinen pečlivě a bez průtahů po prošetření vypracovat návrh opatření k odstranění případných kritizovaných nedostatků </w:t>
      </w:r>
      <w:r w:rsidR="00D97E7B">
        <w:rPr>
          <w:rFonts w:asciiTheme="minorHAnsi" w:hAnsiTheme="minorHAnsi" w:cstheme="minorHAnsi"/>
          <w:color w:val="000000"/>
        </w:rPr>
        <w:br/>
      </w:r>
      <w:r w:rsidRPr="00CC2E45">
        <w:rPr>
          <w:rFonts w:asciiTheme="minorHAnsi" w:hAnsiTheme="minorHAnsi" w:cstheme="minorHAnsi"/>
          <w:color w:val="000000"/>
        </w:rPr>
        <w:t>a zpracovat též návrh písemné odpovědi stěžovateli.</w:t>
      </w:r>
    </w:p>
    <w:p w14:paraId="1FC4445B" w14:textId="3679751C" w:rsidR="00CC2E45" w:rsidRPr="003D7BA7" w:rsidRDefault="00CC2E45" w:rsidP="008F5930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CC2E45">
        <w:rPr>
          <w:rFonts w:asciiTheme="minorHAnsi" w:hAnsiTheme="minorHAnsi" w:cstheme="minorHAnsi"/>
          <w:color w:val="000000"/>
        </w:rPr>
        <w:t xml:space="preserve">Pokud při šetření stížnosti zjistí řešitel </w:t>
      </w:r>
      <w:r w:rsidRPr="00CC2E45">
        <w:rPr>
          <w:rFonts w:asciiTheme="minorHAnsi" w:hAnsiTheme="minorHAnsi" w:cstheme="minorHAnsi"/>
          <w:b/>
          <w:color w:val="000000"/>
        </w:rPr>
        <w:t>podezření z trestné činnosti,</w:t>
      </w:r>
      <w:r w:rsidRPr="00CC2E45">
        <w:rPr>
          <w:rFonts w:asciiTheme="minorHAnsi" w:hAnsiTheme="minorHAnsi" w:cstheme="minorHAnsi"/>
          <w:color w:val="000000"/>
        </w:rPr>
        <w:t xml:space="preserve"> oznámí tuto skutečnost neprodleně příslušnému nadřízenému a ten ji neprodleně oznámí ředitelce OCHNH.</w:t>
      </w:r>
    </w:p>
    <w:p w14:paraId="477F2835" w14:textId="77777777" w:rsidR="00CC2E45" w:rsidRPr="00CC2E45" w:rsidRDefault="00CC2E45" w:rsidP="008F5930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CC2E45">
        <w:rPr>
          <w:rFonts w:asciiTheme="minorHAnsi" w:hAnsiTheme="minorHAnsi" w:cstheme="minorHAnsi"/>
          <w:color w:val="000000"/>
        </w:rPr>
        <w:t>Stížnosti, které spadají do kompetence jiných kontrolních orgánů státní správy, postupuje příjemce těmto orgánům (např. Česká obchodní inspekce, Krajská hygienická stanice apod.). O této skutečnosti informuje stěžovatele.</w:t>
      </w:r>
    </w:p>
    <w:p w14:paraId="7436483A" w14:textId="77777777" w:rsidR="00CC2E45" w:rsidRPr="00CC2E45" w:rsidRDefault="00CC2E45" w:rsidP="008F5930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CC2E45">
        <w:rPr>
          <w:rFonts w:asciiTheme="minorHAnsi" w:hAnsiTheme="minorHAnsi" w:cstheme="minorHAnsi"/>
          <w:color w:val="000000"/>
        </w:rPr>
        <w:t xml:space="preserve">Oprávněná stížnost se považuje za vyřízenou teprve po přijetí opatření k odstranění uváděných závad a nedostatků uváděných stěžovatelem a po jeho písemném vyrozumění. </w:t>
      </w:r>
    </w:p>
    <w:p w14:paraId="0FF183D3" w14:textId="4BBFB8AD" w:rsidR="00CC2E45" w:rsidRPr="000E4A18" w:rsidRDefault="00CC2E45" w:rsidP="008F5930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CC2E45">
        <w:rPr>
          <w:rFonts w:asciiTheme="minorHAnsi" w:hAnsiTheme="minorHAnsi" w:cstheme="minorHAnsi"/>
          <w:color w:val="000000"/>
        </w:rPr>
        <w:t>O výsledku projednání a vyřízení písemné stížnosti je stěžovatel písemně vyrozuměn, i když byla jeho stížnost shledána neoprávněnou.</w:t>
      </w:r>
    </w:p>
    <w:p w14:paraId="724F932C" w14:textId="695FAD42" w:rsidR="005C51FD" w:rsidRPr="005C51FD" w:rsidRDefault="00466CF5" w:rsidP="008F5930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3D7BA7">
        <w:rPr>
          <w:rFonts w:cs="Arial"/>
        </w:rPr>
        <w:t>Odpově</w:t>
      </w:r>
      <w:r w:rsidR="005C51FD">
        <w:rPr>
          <w:rFonts w:cs="Arial"/>
        </w:rPr>
        <w:t>ď na stížnost je vždy písemná a</w:t>
      </w:r>
      <w:r w:rsidR="005C51FD" w:rsidRPr="007962CC">
        <w:rPr>
          <w:rFonts w:ascii="Calibri" w:hAnsi="Calibri" w:cs="Arial"/>
        </w:rPr>
        <w:t xml:space="preserve"> obsahuje informace s vyrozuměním o způsobu vyřízení stížnosti (doporučeně na poštovní adresu stěžovatele či na jeho e-mailovou adresu)</w:t>
      </w:r>
      <w:r w:rsidR="005C51FD">
        <w:rPr>
          <w:rFonts w:ascii="Calibri" w:hAnsi="Calibri" w:cs="Arial"/>
        </w:rPr>
        <w:t>.</w:t>
      </w:r>
      <w:r w:rsidRPr="003D7BA7">
        <w:rPr>
          <w:rFonts w:cs="Arial"/>
        </w:rPr>
        <w:t xml:space="preserve"> </w:t>
      </w:r>
    </w:p>
    <w:p w14:paraId="0B3784F8" w14:textId="2CBF20B4" w:rsidR="00DC7391" w:rsidRPr="00EC5CA6" w:rsidRDefault="002C6CFC" w:rsidP="008F5930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EC5CA6">
        <w:rPr>
          <w:rFonts w:asciiTheme="minorHAnsi" w:hAnsiTheme="minorHAnsi" w:cs="Arial"/>
        </w:rPr>
        <w:t>V případě anonymní stížnosti, která byla vyhodnocena jako podnět</w:t>
      </w:r>
      <w:r w:rsidR="00EC5CA6">
        <w:rPr>
          <w:rFonts w:asciiTheme="minorHAnsi" w:hAnsiTheme="minorHAnsi" w:cs="Arial"/>
        </w:rPr>
        <w:t>,</w:t>
      </w:r>
      <w:r w:rsidRPr="00EC5CA6">
        <w:rPr>
          <w:rFonts w:asciiTheme="minorHAnsi" w:hAnsiTheme="minorHAnsi" w:cs="Arial"/>
        </w:rPr>
        <w:t xml:space="preserve"> je uveřejnění odpovědi</w:t>
      </w:r>
      <w:r w:rsidR="00EC5CA6" w:rsidRPr="00EC5CA6">
        <w:rPr>
          <w:rFonts w:asciiTheme="minorHAnsi" w:hAnsiTheme="minorHAnsi" w:cs="Arial"/>
        </w:rPr>
        <w:t xml:space="preserve"> vyvěšeno na 14 dní na nástěnkách </w:t>
      </w:r>
      <w:r w:rsidR="00EC5CA6" w:rsidRPr="00EC5CA6">
        <w:rPr>
          <w:rFonts w:asciiTheme="minorHAnsi" w:hAnsiTheme="minorHAnsi" w:cstheme="minorHAnsi"/>
        </w:rPr>
        <w:t xml:space="preserve">v Domě sv. Josefa v Chotovicích čp. 31; v Domě sv. Anežky, Erbenova 730, v Hlinsku;  v Domě s pečovatelskou službou Litomyšlská 50, Vysoké Mýto, </w:t>
      </w:r>
      <w:r w:rsidR="00EC5CA6">
        <w:rPr>
          <w:rFonts w:asciiTheme="minorHAnsi" w:hAnsiTheme="minorHAnsi" w:cstheme="minorHAnsi"/>
        </w:rPr>
        <w:t xml:space="preserve">a to </w:t>
      </w:r>
      <w:r w:rsidR="00EC5CA6" w:rsidRPr="00EC5CA6">
        <w:rPr>
          <w:rFonts w:asciiTheme="minorHAnsi" w:hAnsiTheme="minorHAnsi" w:cs="Arial"/>
        </w:rPr>
        <w:t>pouze v případě,</w:t>
      </w:r>
      <w:r w:rsidRPr="00EC5CA6">
        <w:rPr>
          <w:rFonts w:asciiTheme="minorHAnsi" w:hAnsiTheme="minorHAnsi" w:cs="Arial"/>
        </w:rPr>
        <w:t xml:space="preserve"> </w:t>
      </w:r>
      <w:r w:rsidRPr="00EC5CA6">
        <w:rPr>
          <w:rFonts w:asciiTheme="minorHAnsi" w:hAnsiTheme="minorHAnsi" w:cstheme="minorHAnsi"/>
          <w:color w:val="000000"/>
        </w:rPr>
        <w:t>pokud je to v souladu s ochranou lidských a občanských práv, lidské důstojnosti a osobních a citlivých údajů dotčených osob.</w:t>
      </w:r>
      <w:r w:rsidR="00EC5CA6" w:rsidRPr="00EC5CA6">
        <w:rPr>
          <w:rFonts w:asciiTheme="minorHAnsi" w:hAnsiTheme="minorHAnsi" w:cstheme="minorHAnsi"/>
          <w:color w:val="000000"/>
        </w:rPr>
        <w:t xml:space="preserve"> </w:t>
      </w:r>
    </w:p>
    <w:p w14:paraId="3DF17086" w14:textId="3376290C" w:rsidR="00466CF5" w:rsidRPr="003D7BA7" w:rsidRDefault="00466CF5" w:rsidP="008F5930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DC7391">
        <w:rPr>
          <w:rFonts w:cs="Arial"/>
        </w:rPr>
        <w:t>U anonymní stížnosti</w:t>
      </w:r>
      <w:r w:rsidR="00EC5CA6">
        <w:rPr>
          <w:rFonts w:cs="Arial"/>
        </w:rPr>
        <w:t xml:space="preserve">=podnětu, </w:t>
      </w:r>
      <w:r w:rsidRPr="00DC7391">
        <w:rPr>
          <w:rFonts w:cs="Arial"/>
        </w:rPr>
        <w:t>zaslané prostřednictvím e-mailu je odpověď vždy zaslána na e-mailovou adresu</w:t>
      </w:r>
      <w:r w:rsidR="005214CD" w:rsidRPr="00DC7391">
        <w:rPr>
          <w:rFonts w:cs="Arial"/>
        </w:rPr>
        <w:t xml:space="preserve">, </w:t>
      </w:r>
      <w:r w:rsidR="005214CD" w:rsidRPr="003D7BA7">
        <w:rPr>
          <w:rFonts w:cs="Arial"/>
        </w:rPr>
        <w:t>z níž byla poskytovateli odeslána</w:t>
      </w:r>
      <w:r w:rsidRPr="003D7BA7">
        <w:rPr>
          <w:rFonts w:cs="Arial"/>
        </w:rPr>
        <w:t>.</w:t>
      </w:r>
    </w:p>
    <w:p w14:paraId="48DA9974" w14:textId="77777777" w:rsidR="00B276C5" w:rsidRPr="003D7BA7" w:rsidRDefault="00B276C5" w:rsidP="008F5930">
      <w:pPr>
        <w:numPr>
          <w:ilvl w:val="0"/>
          <w:numId w:val="6"/>
        </w:numPr>
        <w:suppressAutoHyphens w:val="0"/>
        <w:jc w:val="both"/>
        <w:rPr>
          <w:rFonts w:asciiTheme="minorHAnsi" w:hAnsiTheme="minorHAnsi" w:cstheme="minorHAnsi"/>
          <w:color w:val="000000"/>
        </w:rPr>
      </w:pPr>
      <w:r w:rsidRPr="003D7BA7">
        <w:rPr>
          <w:rFonts w:asciiTheme="minorHAnsi" w:hAnsiTheme="minorHAnsi" w:cstheme="minorHAnsi"/>
          <w:color w:val="000000"/>
        </w:rPr>
        <w:t>Požádá-li stěžovatel, aby jeho jméno při prošetřování stížnosti nebylo uváděno, postoupí se k prošetření jen kopie nebo opis stížnosti bez uvedení jména stěžovatele.</w:t>
      </w:r>
    </w:p>
    <w:p w14:paraId="225242D5" w14:textId="22623B57" w:rsidR="00B276C5" w:rsidRDefault="000E4A18" w:rsidP="008F5930">
      <w:pPr>
        <w:numPr>
          <w:ilvl w:val="0"/>
          <w:numId w:val="6"/>
        </w:numPr>
        <w:suppressAutoHyphens w:val="0"/>
        <w:jc w:val="both"/>
        <w:rPr>
          <w:rFonts w:ascii="Calibri" w:hAnsi="Calibri" w:cs="Calibri"/>
          <w:color w:val="000000"/>
        </w:rPr>
      </w:pPr>
      <w:r w:rsidRPr="000E4A18">
        <w:rPr>
          <w:rFonts w:ascii="Calibri" w:hAnsi="Calibri" w:cs="Calibri"/>
          <w:color w:val="000000"/>
        </w:rPr>
        <w:t>Kopie odpovědi stěžovateli musí být bezodkladně předána do evidence stížností k založení.</w:t>
      </w:r>
    </w:p>
    <w:p w14:paraId="4FD08BAB" w14:textId="0424CE44" w:rsidR="00002B05" w:rsidRPr="00002B05" w:rsidRDefault="00002B05" w:rsidP="008F5930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color w:val="000000"/>
        </w:rPr>
      </w:pPr>
      <w:r w:rsidRPr="00002B05">
        <w:rPr>
          <w:rFonts w:ascii="Calibri" w:hAnsi="Calibri" w:cs="Calibri"/>
        </w:rPr>
        <w:t xml:space="preserve">Pracovníci poskytovatele věnují zvláštní pozornost těm stěžovatelům, kteří jsou uživateli služby a u kterých se projevují potíže v komunikaci (oční kontakt, pomalé tempo, jasné a přesné sdělení, ověřování porozumění, zajištění tlumočníka…). </w:t>
      </w:r>
    </w:p>
    <w:p w14:paraId="0C78A560" w14:textId="77777777" w:rsidR="00505317" w:rsidRPr="000E4A18" w:rsidRDefault="00505317" w:rsidP="00466CF5">
      <w:pPr>
        <w:ind w:left="426" w:hanging="284"/>
        <w:jc w:val="both"/>
        <w:rPr>
          <w:rFonts w:ascii="Calibri" w:hAnsi="Calibri" w:cs="Calibri"/>
        </w:rPr>
      </w:pPr>
    </w:p>
    <w:p w14:paraId="4B585062" w14:textId="65C65879" w:rsidR="00B276C5" w:rsidRDefault="000E4A18" w:rsidP="00E13A9E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Termíny vyřízení stížnosti</w:t>
      </w:r>
    </w:p>
    <w:p w14:paraId="63FF72B2" w14:textId="39A584BE" w:rsidR="000E4A18" w:rsidRDefault="000E4A18" w:rsidP="008F5930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 w:rsidRPr="003D7BA7">
        <w:rPr>
          <w:rFonts w:cs="Arial"/>
        </w:rPr>
        <w:t xml:space="preserve">Lhůta pro vyřízení stížnosti činí nejpozději 30 dnů ode dne </w:t>
      </w:r>
      <w:r w:rsidR="000215A8">
        <w:rPr>
          <w:rFonts w:cs="Arial"/>
        </w:rPr>
        <w:t xml:space="preserve">obdržení řádně podané stížnosti. Tato lhůta může být odůvodněně prodloužena o dalších 30 dnů. </w:t>
      </w:r>
      <w:r w:rsidRPr="003D7BA7">
        <w:rPr>
          <w:rFonts w:cs="Arial"/>
        </w:rPr>
        <w:t xml:space="preserve"> Pokud si šetření stížnosti vyžádá delší čas, je o této skutečnosti stěžovatel poskytovatelem neprodleně informován. </w:t>
      </w:r>
    </w:p>
    <w:p w14:paraId="1DE24C8F" w14:textId="0D114DCE" w:rsidR="000215A8" w:rsidRPr="000215A8" w:rsidRDefault="000215A8" w:rsidP="008F5930">
      <w:pPr>
        <w:pStyle w:val="Odstavecseseznamem"/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Jde-li o stížnost, k jejímuž vyřízení nemá OCHNH příslušnou pravomoc, je do 5-ti dnů ode dne jejího obdržení postoupena subjektu, kterému věcně přísluší. O této skutečnosti je stěžovatel vždy informován.</w:t>
      </w:r>
    </w:p>
    <w:p w14:paraId="4CD4B277" w14:textId="703D25A6" w:rsidR="000E4A18" w:rsidRPr="003D7BA7" w:rsidRDefault="000E4A18" w:rsidP="00E13A9E">
      <w:pPr>
        <w:jc w:val="both"/>
        <w:rPr>
          <w:rFonts w:asciiTheme="minorHAnsi" w:hAnsiTheme="minorHAnsi" w:cs="Arial"/>
          <w:b/>
        </w:rPr>
      </w:pPr>
    </w:p>
    <w:p w14:paraId="46AB98CA" w14:textId="77777777" w:rsidR="00B276C5" w:rsidRPr="005C51FD" w:rsidRDefault="00B276C5" w:rsidP="00B276C5">
      <w:pPr>
        <w:pStyle w:val="Stnosti"/>
        <w:rPr>
          <w:rFonts w:ascii="Calibri" w:hAnsi="Calibri" w:cs="Calibri"/>
          <w:color w:val="000000"/>
        </w:rPr>
      </w:pPr>
      <w:r w:rsidRPr="005C51FD">
        <w:rPr>
          <w:rFonts w:ascii="Calibri" w:hAnsi="Calibri" w:cs="Calibri"/>
          <w:color w:val="000000"/>
        </w:rPr>
        <w:t xml:space="preserve">Opakovaná stížnost </w:t>
      </w:r>
    </w:p>
    <w:p w14:paraId="75E14524" w14:textId="77777777" w:rsidR="00B276C5" w:rsidRPr="003D7BA7" w:rsidRDefault="00B276C5" w:rsidP="008F5930">
      <w:pPr>
        <w:numPr>
          <w:ilvl w:val="0"/>
          <w:numId w:val="16"/>
        </w:numPr>
        <w:suppressAutoHyphens w:val="0"/>
        <w:jc w:val="both"/>
        <w:rPr>
          <w:rFonts w:ascii="Calibri" w:hAnsi="Calibri" w:cs="Calibri"/>
          <w:color w:val="000000"/>
        </w:rPr>
      </w:pPr>
      <w:r w:rsidRPr="003D7BA7">
        <w:rPr>
          <w:rFonts w:ascii="Calibri" w:hAnsi="Calibri" w:cs="Calibri"/>
          <w:color w:val="000000"/>
        </w:rPr>
        <w:t xml:space="preserve">Opakuje-li stěžovatel stížnost, je nutné prověřit, zda původní stížnost byla správně </w:t>
      </w:r>
      <w:r w:rsidRPr="003D7BA7">
        <w:rPr>
          <w:rFonts w:ascii="Calibri" w:hAnsi="Calibri" w:cs="Calibri"/>
          <w:color w:val="000000"/>
        </w:rPr>
        <w:br/>
        <w:t xml:space="preserve">vyřízena. </w:t>
      </w:r>
    </w:p>
    <w:p w14:paraId="5E267036" w14:textId="77777777" w:rsidR="00B276C5" w:rsidRPr="003D7BA7" w:rsidRDefault="00B276C5" w:rsidP="008F5930">
      <w:pPr>
        <w:numPr>
          <w:ilvl w:val="0"/>
          <w:numId w:val="16"/>
        </w:numPr>
        <w:suppressAutoHyphens w:val="0"/>
        <w:jc w:val="both"/>
        <w:rPr>
          <w:rFonts w:ascii="Calibri" w:hAnsi="Calibri" w:cs="Calibri"/>
          <w:color w:val="000000"/>
        </w:rPr>
      </w:pPr>
      <w:r w:rsidRPr="003D7BA7">
        <w:rPr>
          <w:rFonts w:ascii="Calibri" w:hAnsi="Calibri" w:cs="Calibri"/>
          <w:color w:val="000000"/>
        </w:rPr>
        <w:t xml:space="preserve">Řešitel především posoudí, zda nová stížnost obsahuje nové skutečnosti, pokud ano, postupuje dle pravidel vyřizování stížnosti. </w:t>
      </w:r>
    </w:p>
    <w:p w14:paraId="03ABA475" w14:textId="77777777" w:rsidR="00B276C5" w:rsidRPr="003D7BA7" w:rsidRDefault="00B276C5" w:rsidP="008F5930">
      <w:pPr>
        <w:numPr>
          <w:ilvl w:val="0"/>
          <w:numId w:val="16"/>
        </w:numPr>
        <w:suppressAutoHyphens w:val="0"/>
        <w:jc w:val="both"/>
        <w:rPr>
          <w:rFonts w:ascii="Calibri" w:hAnsi="Calibri" w:cs="Calibri"/>
          <w:color w:val="000000"/>
        </w:rPr>
      </w:pPr>
      <w:r w:rsidRPr="003D7BA7">
        <w:rPr>
          <w:rFonts w:ascii="Calibri" w:hAnsi="Calibri" w:cs="Calibri"/>
          <w:color w:val="000000"/>
        </w:rPr>
        <w:t xml:space="preserve">Pokud tomu tak není, stížnost byla řádně prošetřena a výsledek sdělen, oznámí písemně stěžovateli, že neshledal důvod stížností se opakovaně zabývat. </w:t>
      </w:r>
    </w:p>
    <w:p w14:paraId="6AD0D200" w14:textId="77777777" w:rsidR="00B276C5" w:rsidRPr="003D7BA7" w:rsidRDefault="00B276C5" w:rsidP="008F5930">
      <w:pPr>
        <w:numPr>
          <w:ilvl w:val="0"/>
          <w:numId w:val="16"/>
        </w:numPr>
        <w:suppressAutoHyphens w:val="0"/>
        <w:jc w:val="both"/>
        <w:rPr>
          <w:rFonts w:ascii="Calibri" w:hAnsi="Calibri" w:cs="Calibri"/>
          <w:color w:val="000000"/>
        </w:rPr>
      </w:pPr>
      <w:r w:rsidRPr="003D7BA7">
        <w:rPr>
          <w:rFonts w:ascii="Calibri" w:hAnsi="Calibri" w:cs="Calibri"/>
          <w:color w:val="000000"/>
        </w:rPr>
        <w:t>Jeho stížnost je zakládána bez dalšího projednávání.</w:t>
      </w:r>
    </w:p>
    <w:p w14:paraId="68153E5D" w14:textId="77777777" w:rsidR="00B276C5" w:rsidRPr="00E938C8" w:rsidRDefault="00B276C5" w:rsidP="00B276C5">
      <w:pPr>
        <w:ind w:left="360"/>
        <w:jc w:val="both"/>
        <w:rPr>
          <w:color w:val="FF0000"/>
        </w:rPr>
      </w:pPr>
    </w:p>
    <w:p w14:paraId="55AD6323" w14:textId="3D78DFB3" w:rsidR="007962CC" w:rsidRDefault="007962CC" w:rsidP="005C51FD">
      <w:pPr>
        <w:jc w:val="both"/>
        <w:rPr>
          <w:rFonts w:ascii="Calibri" w:hAnsi="Calibri" w:cs="Calibri"/>
        </w:rPr>
      </w:pPr>
      <w:r w:rsidRPr="00900563">
        <w:rPr>
          <w:rFonts w:ascii="Calibri" w:hAnsi="Calibri" w:cs="Arial"/>
          <w:b/>
          <w:bCs/>
        </w:rPr>
        <w:lastRenderedPageBreak/>
        <w:t>Odpověď na stížnost</w:t>
      </w:r>
      <w:r w:rsidR="005C51FD">
        <w:rPr>
          <w:rFonts w:ascii="Calibri" w:hAnsi="Calibri" w:cs="Arial"/>
          <w:b/>
          <w:bCs/>
        </w:rPr>
        <w:t xml:space="preserve"> </w:t>
      </w:r>
      <w:r>
        <w:rPr>
          <w:rFonts w:ascii="Calibri" w:hAnsi="Calibri" w:cs="Calibri"/>
        </w:rPr>
        <w:t>vždy obsahuje:</w:t>
      </w:r>
    </w:p>
    <w:p w14:paraId="77C12C53" w14:textId="304813B7" w:rsidR="007962CC" w:rsidRPr="005D4F5D" w:rsidRDefault="007962CC" w:rsidP="00B16415">
      <w:pPr>
        <w:pStyle w:val="Odstavecseseznamem"/>
        <w:numPr>
          <w:ilvl w:val="0"/>
          <w:numId w:val="17"/>
        </w:numPr>
        <w:suppressAutoHyphens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poskytovatelem </w:t>
      </w:r>
      <w:r w:rsidRPr="005D4F5D">
        <w:rPr>
          <w:rFonts w:ascii="Calibri" w:hAnsi="Calibri" w:cs="Calibri"/>
        </w:rPr>
        <w:t xml:space="preserve">nebo v případě, kdy jeho stížnost nebyla vyřízena ve stanovené lhůtě. Stěžovatel může požádat ministerstvo ve lhůtě 60 dnů ode dne doručení informace o způsobu vyřízení jeho stížnosti </w:t>
      </w:r>
      <w:r>
        <w:rPr>
          <w:rFonts w:ascii="Calibri" w:hAnsi="Calibri" w:cs="Calibri"/>
        </w:rPr>
        <w:t>p</w:t>
      </w:r>
      <w:r w:rsidRPr="005D4F5D">
        <w:rPr>
          <w:rFonts w:ascii="Calibri" w:hAnsi="Calibri" w:cs="Calibri"/>
        </w:rPr>
        <w:t xml:space="preserve">oskytovatelem nebo od uplynutí stanovené lhůty o prověření vyřízení </w:t>
      </w:r>
      <w:r>
        <w:rPr>
          <w:rFonts w:ascii="Calibri" w:hAnsi="Calibri" w:cs="Calibri"/>
        </w:rPr>
        <w:t xml:space="preserve">své </w:t>
      </w:r>
      <w:r w:rsidRPr="005D4F5D">
        <w:rPr>
          <w:rFonts w:ascii="Calibri" w:hAnsi="Calibri" w:cs="Calibri"/>
        </w:rPr>
        <w:t>stížnosti. V žádosti stěžovatel uvede důvod</w:t>
      </w:r>
      <w:r>
        <w:rPr>
          <w:rFonts w:ascii="Calibri" w:hAnsi="Calibri" w:cs="Calibri"/>
        </w:rPr>
        <w:t>,</w:t>
      </w:r>
      <w:r w:rsidRPr="005D4F5D">
        <w:rPr>
          <w:rFonts w:ascii="Calibri" w:hAnsi="Calibri" w:cs="Calibri"/>
        </w:rPr>
        <w:t xml:space="preserve"> proč žádá o prověření vyřízení stížnosti. </w:t>
      </w:r>
    </w:p>
    <w:p w14:paraId="48CE5A99" w14:textId="77777777" w:rsidR="007962CC" w:rsidRPr="00862C82" w:rsidRDefault="007962CC" w:rsidP="007962CC">
      <w:pPr>
        <w:pStyle w:val="Odstavecseseznamem"/>
        <w:tabs>
          <w:tab w:val="left" w:pos="851"/>
        </w:tabs>
        <w:ind w:left="1440"/>
        <w:jc w:val="both"/>
        <w:rPr>
          <w:rFonts w:ascii="Calibri" w:hAnsi="Calibri" w:cs="Arial"/>
          <w:sz w:val="10"/>
          <w:szCs w:val="10"/>
        </w:rPr>
      </w:pPr>
    </w:p>
    <w:p w14:paraId="2F766F88" w14:textId="77777777" w:rsidR="007962CC" w:rsidRDefault="007962CC" w:rsidP="007962CC">
      <w:pPr>
        <w:ind w:left="786" w:hanging="7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Kontakt:</w:t>
      </w:r>
    </w:p>
    <w:p w14:paraId="6DA186FA" w14:textId="77777777" w:rsidR="007962CC" w:rsidRDefault="007962CC" w:rsidP="007962CC">
      <w:pPr>
        <w:ind w:left="709"/>
        <w:jc w:val="both"/>
        <w:rPr>
          <w:rFonts w:ascii="Calibri" w:hAnsi="Calibri" w:cs="Calibri"/>
          <w:color w:val="0000FF"/>
          <w:u w:val="single"/>
        </w:rPr>
      </w:pPr>
      <w:r>
        <w:rPr>
          <w:rFonts w:ascii="Calibri" w:hAnsi="Calibri" w:cs="Calibri"/>
        </w:rPr>
        <w:t xml:space="preserve">Ministerstvo práce a sociálních věcí </w:t>
      </w:r>
      <w:r>
        <w:rPr>
          <w:rFonts w:ascii="Calibri" w:hAnsi="Calibri" w:cs="Calibri"/>
          <w:spacing w:val="9"/>
          <w:shd w:val="clear" w:color="auto" w:fill="FFFFFF"/>
        </w:rPr>
        <w:t xml:space="preserve">ČR, Na Poříčním právu 1/376, 128 00 Praha 2, telefon: </w:t>
      </w:r>
      <w:proofErr w:type="gramStart"/>
      <w:r>
        <w:rPr>
          <w:rFonts w:ascii="Calibri" w:hAnsi="Calibri" w:cs="Calibri"/>
          <w:spacing w:val="9"/>
          <w:shd w:val="clear" w:color="auto" w:fill="FFFFFF"/>
        </w:rPr>
        <w:t xml:space="preserve">950 191 111, </w:t>
      </w:r>
      <w:proofErr w:type="spellStart"/>
      <w:r>
        <w:rPr>
          <w:rFonts w:ascii="Calibri" w:hAnsi="Calibri" w:cs="Calibri"/>
          <w:spacing w:val="9"/>
          <w:shd w:val="clear" w:color="auto" w:fill="FFFFFF"/>
        </w:rPr>
        <w:t>e.mail</w:t>
      </w:r>
      <w:proofErr w:type="spellEnd"/>
      <w:proofErr w:type="gramEnd"/>
      <w:r>
        <w:rPr>
          <w:rFonts w:ascii="Calibri" w:hAnsi="Calibri" w:cs="Calibri"/>
          <w:spacing w:val="9"/>
          <w:shd w:val="clear" w:color="auto" w:fill="FFFFFF"/>
        </w:rPr>
        <w:t>:</w:t>
      </w:r>
      <w:r w:rsidRPr="00B94372">
        <w:rPr>
          <w:b/>
          <w:bCs/>
        </w:rPr>
        <w:t xml:space="preserve"> </w:t>
      </w:r>
      <w:hyperlink r:id="rId9" w:tooltip="Kontakt na elektronickou podatelnu MPSV" w:history="1">
        <w:r>
          <w:rPr>
            <w:rFonts w:ascii="Calibri" w:hAnsi="Calibri" w:cs="Calibri"/>
            <w:color w:val="0000FF"/>
            <w:u w:val="single"/>
          </w:rPr>
          <w:t>posta@mpsv.cz</w:t>
        </w:r>
      </w:hyperlink>
    </w:p>
    <w:p w14:paraId="68C4051A" w14:textId="77777777" w:rsidR="007962CC" w:rsidRPr="00365DED" w:rsidRDefault="007962CC" w:rsidP="007962CC">
      <w:pPr>
        <w:tabs>
          <w:tab w:val="left" w:pos="851"/>
        </w:tabs>
        <w:ind w:left="709" w:hanging="283"/>
        <w:jc w:val="both"/>
        <w:rPr>
          <w:rFonts w:ascii="Calibri" w:hAnsi="Calibri" w:cs="Arial"/>
          <w:sz w:val="10"/>
          <w:szCs w:val="10"/>
        </w:rPr>
      </w:pPr>
    </w:p>
    <w:p w14:paraId="4304A005" w14:textId="77777777" w:rsidR="007962CC" w:rsidRPr="00B355F5" w:rsidRDefault="007962CC" w:rsidP="00B16415">
      <w:pPr>
        <w:pStyle w:val="Odstavecseseznamem"/>
        <w:numPr>
          <w:ilvl w:val="0"/>
          <w:numId w:val="18"/>
        </w:numPr>
        <w:suppressAutoHyphens/>
        <w:contextualSpacing w:val="0"/>
        <w:jc w:val="both"/>
        <w:rPr>
          <w:rFonts w:ascii="Calibri" w:hAnsi="Calibri" w:cs="Arial"/>
        </w:rPr>
      </w:pPr>
      <w:r w:rsidRPr="00B355F5">
        <w:rPr>
          <w:rFonts w:ascii="Calibri" w:hAnsi="Calibri" w:cs="Calibri"/>
        </w:rPr>
        <w:t>informaci o dalších možnostech podat stížnost na zřizovatele, nebo instituci sledující dodržování lidských práv a základních svobod včetně jejich označení</w:t>
      </w:r>
      <w:r>
        <w:rPr>
          <w:rFonts w:ascii="Calibri" w:hAnsi="Calibri" w:cs="Calibri"/>
        </w:rPr>
        <w:t>, tj.:</w:t>
      </w:r>
      <w:r w:rsidRPr="00B355F5">
        <w:rPr>
          <w:rFonts w:ascii="Calibri" w:hAnsi="Calibri" w:cs="Calibri"/>
        </w:rPr>
        <w:t xml:space="preserve"> </w:t>
      </w:r>
    </w:p>
    <w:p w14:paraId="237BB709" w14:textId="77777777" w:rsidR="007962CC" w:rsidRDefault="007962CC" w:rsidP="007962CC">
      <w:pPr>
        <w:tabs>
          <w:tab w:val="left" w:pos="851"/>
        </w:tabs>
        <w:ind w:left="709" w:hanging="283"/>
        <w:jc w:val="both"/>
        <w:rPr>
          <w:rFonts w:ascii="Calibri" w:hAnsi="Calibri" w:cs="Arial"/>
          <w:sz w:val="10"/>
          <w:szCs w:val="10"/>
        </w:rPr>
      </w:pPr>
    </w:p>
    <w:p w14:paraId="5C29983A" w14:textId="77777777" w:rsidR="007962CC" w:rsidRPr="005F120C" w:rsidRDefault="007962CC" w:rsidP="007962CC">
      <w:pPr>
        <w:ind w:left="426" w:firstLine="283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Biskupství Královéhradecké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Velké náměstí 35</w:t>
      </w:r>
      <w:r>
        <w:rPr>
          <w:rFonts w:ascii="Calibri" w:hAnsi="Calibri" w:cs="Arial"/>
          <w:kern w:val="1"/>
        </w:rPr>
        <w:t>/44</w:t>
      </w:r>
      <w:r w:rsidRPr="005F120C">
        <w:rPr>
          <w:rFonts w:ascii="Calibri" w:hAnsi="Calibri" w:cs="Arial"/>
          <w:kern w:val="1"/>
        </w:rPr>
        <w:t>, 500 01 Hradec Králové, tel.: 495 063 6</w:t>
      </w:r>
      <w:r>
        <w:rPr>
          <w:rFonts w:ascii="Calibri" w:hAnsi="Calibri" w:cs="Arial"/>
          <w:kern w:val="1"/>
        </w:rPr>
        <w:t>11</w:t>
      </w:r>
      <w:r w:rsidRPr="005F120C">
        <w:rPr>
          <w:rFonts w:ascii="Calibri" w:hAnsi="Calibri" w:cs="Arial"/>
          <w:kern w:val="1"/>
        </w:rPr>
        <w:t xml:space="preserve">, </w:t>
      </w:r>
      <w:hyperlink r:id="rId10" w:history="1">
        <w:r w:rsidRPr="005F120C">
          <w:rPr>
            <w:rStyle w:val="Hypertextovodkaz"/>
            <w:rFonts w:ascii="Calibri" w:hAnsi="Calibri" w:cs="Arial"/>
            <w:kern w:val="1"/>
          </w:rPr>
          <w:t>biskupstvi@bihk.cz</w:t>
        </w:r>
      </w:hyperlink>
      <w:r w:rsidRPr="005F120C">
        <w:rPr>
          <w:rFonts w:ascii="Calibri" w:hAnsi="Calibri" w:cs="Arial"/>
          <w:kern w:val="1"/>
        </w:rPr>
        <w:t xml:space="preserve"> </w:t>
      </w:r>
    </w:p>
    <w:p w14:paraId="42C1DF9B" w14:textId="77777777" w:rsidR="007962CC" w:rsidRPr="000116C9" w:rsidRDefault="007962CC" w:rsidP="007962CC">
      <w:pPr>
        <w:tabs>
          <w:tab w:val="left" w:pos="851"/>
        </w:tabs>
        <w:ind w:left="709" w:hanging="283"/>
        <w:jc w:val="both"/>
        <w:rPr>
          <w:rFonts w:ascii="Calibri" w:hAnsi="Calibri" w:cs="Arial"/>
          <w:sz w:val="10"/>
          <w:szCs w:val="10"/>
        </w:rPr>
      </w:pPr>
    </w:p>
    <w:p w14:paraId="22AC24C9" w14:textId="77777777" w:rsidR="007962CC" w:rsidRPr="000116C9" w:rsidRDefault="007962CC" w:rsidP="007962CC">
      <w:pPr>
        <w:tabs>
          <w:tab w:val="left" w:pos="851"/>
        </w:tabs>
        <w:ind w:left="709" w:hanging="283"/>
        <w:jc w:val="both"/>
        <w:rPr>
          <w:rFonts w:ascii="Calibri" w:hAnsi="Calibri" w:cs="Arial"/>
        </w:rPr>
      </w:pPr>
      <w:r w:rsidRPr="000116C9">
        <w:rPr>
          <w:rFonts w:ascii="Calibri" w:hAnsi="Calibri" w:cs="Arial"/>
        </w:rPr>
        <w:t>Veřejn</w:t>
      </w:r>
      <w:r>
        <w:rPr>
          <w:rFonts w:ascii="Calibri" w:hAnsi="Calibri" w:cs="Arial"/>
        </w:rPr>
        <w:t>ý</w:t>
      </w:r>
      <w:r w:rsidRPr="000116C9">
        <w:rPr>
          <w:rFonts w:ascii="Calibri" w:hAnsi="Calibri" w:cs="Arial"/>
        </w:rPr>
        <w:t xml:space="preserve"> ochránce práv, Údolní 39, 602 00 Brno</w:t>
      </w:r>
    </w:p>
    <w:p w14:paraId="410C06F1" w14:textId="77777777" w:rsidR="007962CC" w:rsidRDefault="007962CC" w:rsidP="007962CC">
      <w:pPr>
        <w:tabs>
          <w:tab w:val="left" w:pos="851"/>
        </w:tabs>
        <w:ind w:left="709" w:hanging="283"/>
        <w:jc w:val="both"/>
        <w:rPr>
          <w:rStyle w:val="Hypertextovodkaz"/>
          <w:rFonts w:ascii="Calibri" w:hAnsi="Calibri"/>
          <w:kern w:val="1"/>
        </w:rPr>
      </w:pPr>
      <w:r w:rsidRPr="000116C9">
        <w:rPr>
          <w:rFonts w:ascii="Calibri" w:hAnsi="Calibri" w:cs="Arial"/>
        </w:rPr>
        <w:t xml:space="preserve">tel.: 542 542 888, </w:t>
      </w:r>
      <w:hyperlink r:id="rId11" w:history="1">
        <w:r w:rsidRPr="008B3401">
          <w:rPr>
            <w:rStyle w:val="Hypertextovodkaz"/>
            <w:rFonts w:ascii="Calibri" w:hAnsi="Calibri"/>
            <w:kern w:val="1"/>
          </w:rPr>
          <w:t>podatelna@ochrance.cz</w:t>
        </w:r>
      </w:hyperlink>
    </w:p>
    <w:p w14:paraId="3D4CCEF0" w14:textId="77777777" w:rsidR="00B276C5" w:rsidRDefault="00B276C5" w:rsidP="00E13A9E">
      <w:pPr>
        <w:jc w:val="both"/>
        <w:rPr>
          <w:rFonts w:asciiTheme="minorHAnsi" w:hAnsiTheme="minorHAnsi" w:cs="Arial"/>
          <w:b/>
        </w:rPr>
      </w:pPr>
    </w:p>
    <w:p w14:paraId="72769167" w14:textId="637FEA4F" w:rsidR="00466CF5" w:rsidRPr="00505317" w:rsidRDefault="00466CF5" w:rsidP="00E13A9E">
      <w:pPr>
        <w:jc w:val="both"/>
        <w:rPr>
          <w:rFonts w:asciiTheme="minorHAnsi" w:hAnsiTheme="minorHAnsi" w:cs="Arial"/>
          <w:b/>
        </w:rPr>
      </w:pPr>
      <w:r w:rsidRPr="00505317">
        <w:rPr>
          <w:rFonts w:asciiTheme="minorHAnsi" w:hAnsiTheme="minorHAnsi" w:cs="Arial"/>
          <w:b/>
        </w:rPr>
        <w:t xml:space="preserve">Pokud uživatel nesouhlasí s vyřízením své stížnosti, může se obrátit </w:t>
      </w:r>
      <w:proofErr w:type="gramStart"/>
      <w:r w:rsidRPr="00505317">
        <w:rPr>
          <w:rFonts w:asciiTheme="minorHAnsi" w:hAnsiTheme="minorHAnsi" w:cs="Arial"/>
          <w:b/>
        </w:rPr>
        <w:t>na</w:t>
      </w:r>
      <w:proofErr w:type="gramEnd"/>
      <w:r w:rsidRPr="00505317">
        <w:rPr>
          <w:rFonts w:asciiTheme="minorHAnsi" w:hAnsiTheme="minorHAnsi" w:cs="Arial"/>
          <w:b/>
        </w:rPr>
        <w:t xml:space="preserve">: </w:t>
      </w:r>
    </w:p>
    <w:p w14:paraId="49B51C9F" w14:textId="77777777" w:rsidR="00466CF5" w:rsidRPr="003434EF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4417D182" w14:textId="77777777" w:rsidR="00466CF5" w:rsidRPr="005F120C" w:rsidRDefault="00466CF5" w:rsidP="00466CF5">
      <w:pPr>
        <w:ind w:left="284" w:firstLine="142"/>
        <w:jc w:val="both"/>
        <w:rPr>
          <w:rFonts w:ascii="Calibri" w:hAnsi="Calibri" w:cs="Arial"/>
          <w:kern w:val="1"/>
        </w:rPr>
      </w:pPr>
      <w:r w:rsidRPr="00C017DC">
        <w:rPr>
          <w:rFonts w:ascii="Calibri" w:hAnsi="Calibri" w:cs="Arial"/>
          <w:kern w:val="1"/>
        </w:rPr>
        <w:t>Diecézní katolickou charitu Hradec Králové</w:t>
      </w:r>
      <w:r>
        <w:rPr>
          <w:rFonts w:ascii="Calibri" w:hAnsi="Calibri" w:cs="Arial"/>
          <w:kern w:val="1"/>
        </w:rPr>
        <w:t>, Ing</w:t>
      </w:r>
      <w:r w:rsidRPr="005F120C">
        <w:rPr>
          <w:rFonts w:ascii="Calibri" w:hAnsi="Calibri" w:cs="Arial"/>
          <w:kern w:val="1"/>
        </w:rPr>
        <w:t xml:space="preserve">. </w:t>
      </w:r>
      <w:r>
        <w:rPr>
          <w:rFonts w:ascii="Calibri" w:hAnsi="Calibri" w:cs="Arial"/>
          <w:kern w:val="1"/>
        </w:rPr>
        <w:t xml:space="preserve">Anna </w:t>
      </w:r>
      <w:proofErr w:type="spellStart"/>
      <w:r>
        <w:rPr>
          <w:rFonts w:ascii="Calibri" w:hAnsi="Calibri" w:cs="Arial"/>
          <w:kern w:val="1"/>
        </w:rPr>
        <w:t>Maclovou</w:t>
      </w:r>
      <w:proofErr w:type="spellEnd"/>
      <w:r>
        <w:rPr>
          <w:rFonts w:ascii="Calibri" w:hAnsi="Calibri" w:cs="Arial"/>
          <w:kern w:val="1"/>
        </w:rPr>
        <w:t>, ředitelku;</w:t>
      </w:r>
      <w:r w:rsidRPr="005F120C">
        <w:rPr>
          <w:rFonts w:ascii="Calibri" w:hAnsi="Calibri" w:cs="Arial"/>
          <w:kern w:val="1"/>
        </w:rPr>
        <w:t xml:space="preserve"> </w:t>
      </w:r>
    </w:p>
    <w:p w14:paraId="60CD4895" w14:textId="77777777" w:rsidR="00466CF5" w:rsidRPr="00C017DC" w:rsidRDefault="00466CF5" w:rsidP="00466CF5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Velké náměstí 37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500 01 Hradec Králové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telefon: 495 063</w:t>
      </w:r>
      <w:r>
        <w:rPr>
          <w:rFonts w:ascii="Calibri" w:hAnsi="Calibri" w:cs="Arial"/>
          <w:kern w:val="1"/>
        </w:rPr>
        <w:t> </w:t>
      </w:r>
      <w:r w:rsidRPr="005F120C">
        <w:rPr>
          <w:rFonts w:ascii="Calibri" w:hAnsi="Calibri" w:cs="Arial"/>
          <w:kern w:val="1"/>
        </w:rPr>
        <w:t>135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 xml:space="preserve">e-mail: </w:t>
      </w:r>
      <w:hyperlink r:id="rId12" w:history="1">
        <w:r w:rsidRPr="00C017DC">
          <w:rPr>
            <w:rStyle w:val="Hypertextovodkaz"/>
            <w:rFonts w:ascii="Calibri" w:hAnsi="Calibri" w:cs="Arial"/>
            <w:kern w:val="1"/>
          </w:rPr>
          <w:t>dchhk@hk.caritas.cz</w:t>
        </w:r>
      </w:hyperlink>
    </w:p>
    <w:p w14:paraId="3E666C99" w14:textId="77777777" w:rsidR="00466CF5" w:rsidRPr="00361790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7A60F5B5" w14:textId="77777777" w:rsidR="00466CF5" w:rsidRDefault="00466CF5" w:rsidP="00466CF5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Biskupství Královéhradecké</w:t>
      </w:r>
      <w:r>
        <w:rPr>
          <w:rFonts w:ascii="Calibri" w:hAnsi="Calibri" w:cs="Arial"/>
          <w:kern w:val="1"/>
        </w:rPr>
        <w:t xml:space="preserve">, </w:t>
      </w:r>
      <w:r w:rsidRPr="005F120C">
        <w:rPr>
          <w:rFonts w:ascii="Calibri" w:hAnsi="Calibri" w:cs="Arial"/>
          <w:kern w:val="1"/>
        </w:rPr>
        <w:t>Velké náměstí 35</w:t>
      </w:r>
      <w:r>
        <w:rPr>
          <w:rFonts w:ascii="Calibri" w:hAnsi="Calibri" w:cs="Arial"/>
          <w:kern w:val="1"/>
        </w:rPr>
        <w:t>/44</w:t>
      </w:r>
      <w:r w:rsidRPr="005F120C">
        <w:rPr>
          <w:rFonts w:ascii="Calibri" w:hAnsi="Calibri" w:cs="Arial"/>
          <w:kern w:val="1"/>
        </w:rPr>
        <w:t xml:space="preserve">, 500 01 Hradec Králové, </w:t>
      </w:r>
    </w:p>
    <w:p w14:paraId="74BF0F92" w14:textId="77777777" w:rsidR="00466CF5" w:rsidRPr="005F120C" w:rsidRDefault="00466CF5" w:rsidP="00466CF5">
      <w:pPr>
        <w:ind w:firstLine="426"/>
        <w:jc w:val="both"/>
        <w:rPr>
          <w:rFonts w:ascii="Calibri" w:hAnsi="Calibri" w:cs="Arial"/>
          <w:kern w:val="1"/>
        </w:rPr>
      </w:pPr>
      <w:r w:rsidRPr="005F120C">
        <w:rPr>
          <w:rFonts w:ascii="Calibri" w:hAnsi="Calibri" w:cs="Arial"/>
          <w:kern w:val="1"/>
        </w:rPr>
        <w:t>tel.: 495 063 6</w:t>
      </w:r>
      <w:r>
        <w:rPr>
          <w:rFonts w:ascii="Calibri" w:hAnsi="Calibri" w:cs="Arial"/>
          <w:kern w:val="1"/>
        </w:rPr>
        <w:t>11</w:t>
      </w:r>
      <w:r w:rsidRPr="005F120C">
        <w:rPr>
          <w:rFonts w:ascii="Calibri" w:hAnsi="Calibri" w:cs="Arial"/>
          <w:kern w:val="1"/>
        </w:rPr>
        <w:t xml:space="preserve">, </w:t>
      </w:r>
      <w:hyperlink r:id="rId13" w:history="1">
        <w:r w:rsidRPr="005F120C">
          <w:rPr>
            <w:rStyle w:val="Hypertextovodkaz"/>
            <w:rFonts w:ascii="Calibri" w:hAnsi="Calibri" w:cs="Arial"/>
            <w:kern w:val="1"/>
          </w:rPr>
          <w:t>biskupstvi@bihk.cz</w:t>
        </w:r>
      </w:hyperlink>
      <w:r w:rsidRPr="005F120C">
        <w:rPr>
          <w:rFonts w:ascii="Calibri" w:hAnsi="Calibri" w:cs="Arial"/>
          <w:kern w:val="1"/>
        </w:rPr>
        <w:t xml:space="preserve"> </w:t>
      </w:r>
    </w:p>
    <w:p w14:paraId="60C546C1" w14:textId="77777777" w:rsidR="00466CF5" w:rsidRPr="00361790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0B38378D" w14:textId="77777777" w:rsidR="00466CF5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Charitu Česká republika, Vladislavova 1461/12, 110 00 Praha 1</w:t>
      </w:r>
    </w:p>
    <w:p w14:paraId="06B7E31C" w14:textId="77777777" w:rsidR="00466CF5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tel.: 296 243 330, </w:t>
      </w:r>
      <w:r w:rsidRPr="00361790">
        <w:rPr>
          <w:rStyle w:val="Hypertextovodkaz"/>
          <w:rFonts w:ascii="Calibri" w:hAnsi="Calibri"/>
          <w:kern w:val="1"/>
        </w:rPr>
        <w:t>sekretariat@charita.cz</w:t>
      </w:r>
    </w:p>
    <w:p w14:paraId="57905634" w14:textId="77777777" w:rsidR="00466CF5" w:rsidRPr="00361790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  <w:sz w:val="10"/>
          <w:szCs w:val="10"/>
        </w:rPr>
      </w:pPr>
    </w:p>
    <w:p w14:paraId="5747E919" w14:textId="77777777" w:rsidR="00466CF5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Veřejného ochránce práv, Údolní 39, 602 00 Brno</w:t>
      </w:r>
    </w:p>
    <w:p w14:paraId="7CC6469C" w14:textId="77777777" w:rsidR="00466CF5" w:rsidRDefault="00466CF5" w:rsidP="00466CF5">
      <w:pPr>
        <w:tabs>
          <w:tab w:val="left" w:pos="851"/>
        </w:tabs>
        <w:ind w:left="709" w:hanging="283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tel.: 542 542 888, </w:t>
      </w:r>
      <w:r w:rsidRPr="00361790">
        <w:rPr>
          <w:rStyle w:val="Hypertextovodkaz"/>
          <w:rFonts w:ascii="Calibri" w:hAnsi="Calibri"/>
          <w:kern w:val="1"/>
        </w:rPr>
        <w:t>podatelna@ochrance.cz</w:t>
      </w:r>
    </w:p>
    <w:p w14:paraId="65A4AA04" w14:textId="77777777" w:rsidR="00E31347" w:rsidRPr="005214CD" w:rsidRDefault="00E31347" w:rsidP="00595338">
      <w:pPr>
        <w:suppressAutoHyphens w:val="0"/>
        <w:spacing w:line="276" w:lineRule="auto"/>
        <w:contextualSpacing/>
        <w:jc w:val="both"/>
        <w:rPr>
          <w:rFonts w:asciiTheme="minorHAnsi" w:hAnsiTheme="minorHAnsi" w:cs="Arial"/>
        </w:rPr>
      </w:pPr>
    </w:p>
    <w:p w14:paraId="37528686" w14:textId="77777777" w:rsidR="00B16415" w:rsidRDefault="00DC44BA" w:rsidP="00B16415">
      <w:pPr>
        <w:pStyle w:val="Normlnodsazen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t xml:space="preserve">V případě stížností týkajících se kvality sociálních a zdravotních služeb či návazných aktivit poskytovaných </w:t>
      </w:r>
      <w:r w:rsidR="009C0F27">
        <w:rPr>
          <w:rFonts w:asciiTheme="minorHAnsi" w:hAnsiTheme="minorHAnsi" w:cs="Arial"/>
          <w:lang w:eastAsia="ar-SA"/>
        </w:rPr>
        <w:t>Oblastní charitou Nové Hrady u Sku</w:t>
      </w:r>
      <w:r w:rsidR="005C51FD">
        <w:rPr>
          <w:rFonts w:asciiTheme="minorHAnsi" w:hAnsiTheme="minorHAnsi" w:cs="Arial"/>
          <w:lang w:eastAsia="ar-SA"/>
        </w:rPr>
        <w:t>tče (dále níže v textu jen „OCH</w:t>
      </w:r>
      <w:r w:rsidR="009C0F27">
        <w:rPr>
          <w:rFonts w:asciiTheme="minorHAnsi" w:hAnsiTheme="minorHAnsi" w:cs="Arial"/>
          <w:lang w:eastAsia="ar-SA"/>
        </w:rPr>
        <w:t>NH“)</w:t>
      </w:r>
      <w:r w:rsidRPr="005214CD">
        <w:rPr>
          <w:rFonts w:asciiTheme="minorHAnsi" w:hAnsiTheme="minorHAnsi" w:cs="Arial"/>
          <w:lang w:eastAsia="ar-SA"/>
        </w:rPr>
        <w:t xml:space="preserve"> či pracovněprávních vztahů v těchto organizacích postoupí ředitel</w:t>
      </w:r>
      <w:r w:rsidR="005C51FD">
        <w:rPr>
          <w:rFonts w:asciiTheme="minorHAnsi" w:hAnsiTheme="minorHAnsi" w:cs="Arial"/>
          <w:lang w:eastAsia="ar-SA"/>
        </w:rPr>
        <w:t>ka</w:t>
      </w:r>
      <w:r w:rsidRPr="005214CD">
        <w:rPr>
          <w:rFonts w:asciiTheme="minorHAnsi" w:hAnsiTheme="minorHAnsi" w:cs="Arial"/>
          <w:lang w:eastAsia="ar-SA"/>
        </w:rPr>
        <w:t xml:space="preserve"> DCHHK neprodleně stížnost vedení </w:t>
      </w:r>
      <w:r w:rsidR="005C51FD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Pr="005214CD">
        <w:rPr>
          <w:rFonts w:asciiTheme="minorHAnsi" w:hAnsiTheme="minorHAnsi" w:cs="Arial"/>
          <w:lang w:eastAsia="ar-SA"/>
        </w:rPr>
        <w:t xml:space="preserve">, o čemž současně informuje stěžovatele. </w:t>
      </w:r>
    </w:p>
    <w:p w14:paraId="30A2E64D" w14:textId="77777777" w:rsidR="00B16415" w:rsidRDefault="00DC44BA" w:rsidP="00B16415">
      <w:pPr>
        <w:pStyle w:val="Normlnodsazen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t>Ředitel</w:t>
      </w:r>
      <w:r w:rsidR="005C51FD">
        <w:rPr>
          <w:rFonts w:asciiTheme="minorHAnsi" w:hAnsiTheme="minorHAnsi" w:cs="Arial"/>
          <w:lang w:eastAsia="ar-SA"/>
        </w:rPr>
        <w:t>ka</w:t>
      </w:r>
      <w:r w:rsidRPr="005214CD">
        <w:rPr>
          <w:rFonts w:asciiTheme="minorHAnsi" w:hAnsiTheme="minorHAnsi" w:cs="Arial"/>
          <w:lang w:eastAsia="ar-SA"/>
        </w:rPr>
        <w:t xml:space="preserve"> </w:t>
      </w:r>
      <w:r w:rsidR="005C51FD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="005C51FD">
        <w:rPr>
          <w:rFonts w:asciiTheme="minorHAnsi" w:hAnsiTheme="minorHAnsi" w:cs="Arial"/>
          <w:lang w:eastAsia="ar-SA"/>
        </w:rPr>
        <w:t xml:space="preserve">, je povinna obsah stížnosti </w:t>
      </w:r>
      <w:proofErr w:type="spellStart"/>
      <w:r w:rsidR="005C51FD">
        <w:rPr>
          <w:rFonts w:asciiTheme="minorHAnsi" w:hAnsiTheme="minorHAnsi" w:cs="Arial"/>
          <w:lang w:eastAsia="ar-SA"/>
        </w:rPr>
        <w:t>bez</w:t>
      </w:r>
      <w:r w:rsidRPr="005214CD">
        <w:rPr>
          <w:rFonts w:asciiTheme="minorHAnsi" w:hAnsiTheme="minorHAnsi" w:cs="Arial"/>
          <w:lang w:eastAsia="ar-SA"/>
        </w:rPr>
        <w:t>p</w:t>
      </w:r>
      <w:r w:rsidR="005C51FD">
        <w:rPr>
          <w:rFonts w:asciiTheme="minorHAnsi" w:hAnsiTheme="minorHAnsi" w:cs="Arial"/>
          <w:lang w:eastAsia="ar-SA"/>
        </w:rPr>
        <w:t>rodleně</w:t>
      </w:r>
      <w:proofErr w:type="spellEnd"/>
      <w:r w:rsidR="005C51FD">
        <w:rPr>
          <w:rFonts w:asciiTheme="minorHAnsi" w:hAnsiTheme="minorHAnsi" w:cs="Arial"/>
          <w:lang w:eastAsia="ar-SA"/>
        </w:rPr>
        <w:t xml:space="preserve"> pro</w:t>
      </w:r>
      <w:r w:rsidRPr="005214CD">
        <w:rPr>
          <w:rFonts w:asciiTheme="minorHAnsi" w:hAnsiTheme="minorHAnsi" w:cs="Arial"/>
          <w:lang w:eastAsia="ar-SA"/>
        </w:rPr>
        <w:t xml:space="preserve">šetřit a co nejdříve, nejpozději však do 30 pracovních dnů zaslat vyjádření stěžovateli, v kopii řediteli DCHHK. </w:t>
      </w:r>
    </w:p>
    <w:p w14:paraId="1B35BADD" w14:textId="77777777" w:rsidR="00B16415" w:rsidRDefault="00DC44BA" w:rsidP="00B16415">
      <w:pPr>
        <w:pStyle w:val="Normlnodsazen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t xml:space="preserve">Pokud si šetření stížnosti vyžádá delší čas a ředitel </w:t>
      </w:r>
      <w:r w:rsidR="004D037C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="009C0F27" w:rsidRPr="005214CD">
        <w:rPr>
          <w:rFonts w:asciiTheme="minorHAnsi" w:hAnsiTheme="minorHAnsi" w:cs="Arial"/>
          <w:lang w:eastAsia="ar-SA"/>
        </w:rPr>
        <w:t xml:space="preserve"> </w:t>
      </w:r>
      <w:r w:rsidRPr="005214CD">
        <w:rPr>
          <w:rFonts w:asciiTheme="minorHAnsi" w:hAnsiTheme="minorHAnsi" w:cs="Arial"/>
          <w:lang w:eastAsia="ar-SA"/>
        </w:rPr>
        <w:t xml:space="preserve">nemůže stěžovateli sdělit výsledek šetření ve výše uvedené lhůtě, neprodleně jej o této skutečnosti informuje. </w:t>
      </w:r>
    </w:p>
    <w:p w14:paraId="1789682B" w14:textId="77777777" w:rsidR="00B16415" w:rsidRDefault="00DC44BA" w:rsidP="00B16415">
      <w:pPr>
        <w:pStyle w:val="Normlnodsazen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t xml:space="preserve">V případě, že stěžovatel není spokojen s vyřazením své stížnosti na úrovni vedení </w:t>
      </w:r>
      <w:r w:rsidR="004D037C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Pr="005214CD">
        <w:rPr>
          <w:rFonts w:asciiTheme="minorHAnsi" w:hAnsiTheme="minorHAnsi" w:cs="Arial"/>
          <w:lang w:eastAsia="ar-SA"/>
        </w:rPr>
        <w:t>, bude se jejím šetřením z</w:t>
      </w:r>
      <w:r w:rsidR="004D037C">
        <w:rPr>
          <w:rFonts w:asciiTheme="minorHAnsi" w:hAnsiTheme="minorHAnsi" w:cs="Arial"/>
          <w:lang w:eastAsia="ar-SA"/>
        </w:rPr>
        <w:t>a</w:t>
      </w:r>
      <w:r w:rsidRPr="005214CD">
        <w:rPr>
          <w:rFonts w:asciiTheme="minorHAnsi" w:hAnsiTheme="minorHAnsi" w:cs="Arial"/>
          <w:lang w:eastAsia="ar-SA"/>
        </w:rPr>
        <w:t>bývat ředitel, případně prezident DCHHK. Ředitel nebo prezident DCHHK, si za tímto účelem vyžádá vyjádř</w:t>
      </w:r>
      <w:r w:rsidR="004D037C">
        <w:rPr>
          <w:rFonts w:asciiTheme="minorHAnsi" w:hAnsiTheme="minorHAnsi" w:cs="Arial"/>
          <w:lang w:eastAsia="ar-SA"/>
        </w:rPr>
        <w:t>ení ředitelky</w:t>
      </w:r>
      <w:r w:rsidRPr="005214CD">
        <w:rPr>
          <w:rFonts w:asciiTheme="minorHAnsi" w:hAnsiTheme="minorHAnsi" w:cs="Arial"/>
          <w:lang w:eastAsia="ar-SA"/>
        </w:rPr>
        <w:t xml:space="preserve"> </w:t>
      </w:r>
      <w:r w:rsidR="004D037C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Pr="005214CD">
        <w:rPr>
          <w:rFonts w:asciiTheme="minorHAnsi" w:hAnsiTheme="minorHAnsi" w:cs="Arial"/>
          <w:lang w:eastAsia="ar-SA"/>
        </w:rPr>
        <w:t xml:space="preserve"> k dané věci spolu s podklady a informacemi nezbytnými pro prošetření této stížnosti, a to ve lhůtě, kterou stanoví. </w:t>
      </w:r>
    </w:p>
    <w:p w14:paraId="59ADFDF0" w14:textId="774E7272" w:rsidR="00DC44BA" w:rsidRPr="005214CD" w:rsidRDefault="00DC44BA" w:rsidP="00B16415">
      <w:pPr>
        <w:pStyle w:val="Normlnodsazen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t xml:space="preserve">V případě, že stížnost byla oprávněná, ředitel </w:t>
      </w:r>
      <w:r w:rsidR="004D037C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="009C0F27" w:rsidRPr="005214CD">
        <w:rPr>
          <w:rFonts w:asciiTheme="minorHAnsi" w:hAnsiTheme="minorHAnsi" w:cs="Arial"/>
          <w:lang w:eastAsia="ar-SA"/>
        </w:rPr>
        <w:t xml:space="preserve"> </w:t>
      </w:r>
      <w:r w:rsidRPr="005214CD">
        <w:rPr>
          <w:rFonts w:asciiTheme="minorHAnsi" w:hAnsiTheme="minorHAnsi" w:cs="Arial"/>
          <w:lang w:eastAsia="ar-SA"/>
        </w:rPr>
        <w:t>informuje ředitele DCHHK, jak ji řešil, jaká opatření přijme, aby se situace, jež byla předmětem stížnosti, neopakovala.</w:t>
      </w:r>
    </w:p>
    <w:p w14:paraId="02F3C62B" w14:textId="77777777" w:rsidR="00DC44BA" w:rsidRPr="005214CD" w:rsidRDefault="00DC44BA" w:rsidP="00DC44BA">
      <w:pPr>
        <w:pStyle w:val="Odstavecseseznamem"/>
        <w:rPr>
          <w:rFonts w:eastAsia="Times New Roman" w:cs="Arial"/>
          <w:lang w:eastAsia="ar-SA"/>
        </w:rPr>
      </w:pPr>
    </w:p>
    <w:p w14:paraId="0C552D97" w14:textId="7FAA88F8" w:rsidR="00DC44BA" w:rsidRPr="005214CD" w:rsidRDefault="00DC44BA" w:rsidP="00B16415">
      <w:pPr>
        <w:pStyle w:val="Normlnodsazen"/>
        <w:numPr>
          <w:ilvl w:val="0"/>
          <w:numId w:val="19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lastRenderedPageBreak/>
        <w:t xml:space="preserve">V případě, že se jedná o stížnost směřovanou proti statutárnímu orgánu </w:t>
      </w:r>
      <w:r w:rsidR="009C0F27">
        <w:rPr>
          <w:rFonts w:asciiTheme="minorHAnsi" w:hAnsiTheme="minorHAnsi" w:cs="Arial"/>
          <w:lang w:eastAsia="ar-SA"/>
        </w:rPr>
        <w:t>OCHNH</w:t>
      </w:r>
      <w:r w:rsidRPr="005214CD">
        <w:rPr>
          <w:rFonts w:asciiTheme="minorHAnsi" w:hAnsiTheme="minorHAnsi" w:cs="Arial"/>
          <w:lang w:eastAsia="ar-SA"/>
        </w:rPr>
        <w:t>, ředitel</w:t>
      </w:r>
      <w:r w:rsidR="004D037C">
        <w:rPr>
          <w:rFonts w:asciiTheme="minorHAnsi" w:hAnsiTheme="minorHAnsi" w:cs="Arial"/>
          <w:lang w:eastAsia="ar-SA"/>
        </w:rPr>
        <w:t>ce</w:t>
      </w:r>
      <w:r w:rsidRPr="005214CD">
        <w:rPr>
          <w:rFonts w:asciiTheme="minorHAnsi" w:hAnsiTheme="minorHAnsi" w:cs="Arial"/>
          <w:lang w:eastAsia="ar-SA"/>
        </w:rPr>
        <w:t xml:space="preserve"> DCHHK kontaktuje dotčenou osobu, proti níž stížnost směřuje, může ji požádat o písemné vyjádření, pozvat k osobnímu jednání. Má právo vyžádat si v této souvislosti další informace, záznamy, příp. svědectví dalších osob. Pokud se stížnost týká zástupce ředitele, ředitel DCHHK o tét</w:t>
      </w:r>
      <w:r w:rsidR="004D037C">
        <w:rPr>
          <w:rFonts w:asciiTheme="minorHAnsi" w:hAnsiTheme="minorHAnsi" w:cs="Arial"/>
          <w:lang w:eastAsia="ar-SA"/>
        </w:rPr>
        <w:t>o skutečnosti informuje ředitelku</w:t>
      </w:r>
      <w:r w:rsidRPr="005214CD">
        <w:rPr>
          <w:rFonts w:asciiTheme="minorHAnsi" w:hAnsiTheme="minorHAnsi" w:cs="Arial"/>
          <w:lang w:eastAsia="ar-SA"/>
        </w:rPr>
        <w:t xml:space="preserve"> </w:t>
      </w:r>
      <w:r w:rsidR="004D037C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Pr="005214CD">
        <w:rPr>
          <w:rFonts w:asciiTheme="minorHAnsi" w:hAnsiTheme="minorHAnsi" w:cs="Arial"/>
          <w:lang w:eastAsia="ar-SA"/>
        </w:rPr>
        <w:t>.</w:t>
      </w:r>
    </w:p>
    <w:p w14:paraId="4E08DF1E" w14:textId="63B10796" w:rsidR="00AC2DFF" w:rsidRPr="005214CD" w:rsidRDefault="00AC2DFF" w:rsidP="00AC2DFF">
      <w:pPr>
        <w:spacing w:line="276" w:lineRule="auto"/>
        <w:jc w:val="both"/>
        <w:rPr>
          <w:rFonts w:asciiTheme="minorHAnsi" w:hAnsiTheme="minorHAnsi" w:cs="Arial"/>
        </w:rPr>
      </w:pPr>
    </w:p>
    <w:p w14:paraId="45646D92" w14:textId="0A644CAE" w:rsidR="00AC2DFF" w:rsidRPr="005214CD" w:rsidRDefault="00AC2DFF" w:rsidP="00B16415">
      <w:pPr>
        <w:pStyle w:val="Normlnodsazen"/>
        <w:numPr>
          <w:ilvl w:val="0"/>
          <w:numId w:val="20"/>
        </w:numPr>
        <w:spacing w:line="276" w:lineRule="auto"/>
        <w:jc w:val="both"/>
        <w:rPr>
          <w:rFonts w:asciiTheme="minorHAnsi" w:hAnsiTheme="minorHAnsi" w:cs="Arial"/>
          <w:lang w:eastAsia="ar-SA"/>
        </w:rPr>
      </w:pPr>
      <w:r w:rsidRPr="005214CD">
        <w:rPr>
          <w:rFonts w:asciiTheme="minorHAnsi" w:hAnsiTheme="minorHAnsi" w:cs="Arial"/>
          <w:lang w:eastAsia="ar-SA"/>
        </w:rPr>
        <w:t>Ředitel DCHHK může některými úkony šetření pověřit i další osoby např. prezidenta, v případě duchovní, nebo církevní problematiky nebo etického chování, metodika v případě poskytování služeb, ekonoma v případě prověření hospodaření apod. Poté vyhodnotí, zda stížnost byla oprávněná, nebo nikoliv a písemně sdělí stěžovateli výsledek svého šetření. V případě, že je stížnos</w:t>
      </w:r>
      <w:r w:rsidR="004D037C">
        <w:rPr>
          <w:rFonts w:asciiTheme="minorHAnsi" w:hAnsiTheme="minorHAnsi" w:cs="Arial"/>
          <w:lang w:eastAsia="ar-SA"/>
        </w:rPr>
        <w:t>t oprávněná, domluví s ředitelkou</w:t>
      </w:r>
      <w:r w:rsidRPr="005214CD">
        <w:rPr>
          <w:rFonts w:asciiTheme="minorHAnsi" w:hAnsiTheme="minorHAnsi" w:cs="Arial"/>
          <w:lang w:eastAsia="ar-SA"/>
        </w:rPr>
        <w:t xml:space="preserve"> </w:t>
      </w:r>
      <w:r w:rsidR="004D037C">
        <w:rPr>
          <w:rFonts w:asciiTheme="minorHAnsi" w:hAnsiTheme="minorHAnsi" w:cs="Arial"/>
          <w:lang w:eastAsia="ar-SA"/>
        </w:rPr>
        <w:t>OCH</w:t>
      </w:r>
      <w:r w:rsidR="009C0F27">
        <w:rPr>
          <w:rFonts w:asciiTheme="minorHAnsi" w:hAnsiTheme="minorHAnsi" w:cs="Arial"/>
          <w:lang w:eastAsia="ar-SA"/>
        </w:rPr>
        <w:t>NH</w:t>
      </w:r>
      <w:r w:rsidR="009C0F27" w:rsidRPr="005214CD">
        <w:rPr>
          <w:rFonts w:asciiTheme="minorHAnsi" w:hAnsiTheme="minorHAnsi" w:cs="Arial"/>
          <w:lang w:eastAsia="ar-SA"/>
        </w:rPr>
        <w:t xml:space="preserve"> </w:t>
      </w:r>
      <w:r w:rsidRPr="005214CD">
        <w:rPr>
          <w:rFonts w:asciiTheme="minorHAnsi" w:hAnsiTheme="minorHAnsi" w:cs="Arial"/>
          <w:lang w:eastAsia="ar-SA"/>
        </w:rPr>
        <w:t>nápravná opatření a termín jejich přijetí, o če</w:t>
      </w:r>
      <w:r w:rsidR="009C0F27">
        <w:rPr>
          <w:rFonts w:asciiTheme="minorHAnsi" w:hAnsiTheme="minorHAnsi" w:cs="Arial"/>
          <w:lang w:eastAsia="ar-SA"/>
        </w:rPr>
        <w:t>m</w:t>
      </w:r>
      <w:r w:rsidRPr="005214CD">
        <w:rPr>
          <w:rFonts w:asciiTheme="minorHAnsi" w:hAnsiTheme="minorHAnsi" w:cs="Arial"/>
          <w:lang w:eastAsia="ar-SA"/>
        </w:rPr>
        <w:t xml:space="preserve">ž rovněž informuje stěžovatele. </w:t>
      </w:r>
    </w:p>
    <w:p w14:paraId="0F600DB5" w14:textId="21015CAF" w:rsidR="00B225C8" w:rsidRPr="00B16415" w:rsidRDefault="00AC2DFF" w:rsidP="00B16415">
      <w:pPr>
        <w:pStyle w:val="Odstavecseseznamem"/>
        <w:numPr>
          <w:ilvl w:val="0"/>
          <w:numId w:val="20"/>
        </w:numPr>
        <w:spacing w:line="276" w:lineRule="auto"/>
        <w:jc w:val="both"/>
        <w:rPr>
          <w:rFonts w:cs="Arial"/>
        </w:rPr>
      </w:pPr>
      <w:r w:rsidRPr="00B16415">
        <w:rPr>
          <w:rFonts w:cs="Arial"/>
        </w:rPr>
        <w:t xml:space="preserve">Pokud se jedná na stížnost na jednání pracovníků DCHHK z řad zaměstnanců </w:t>
      </w:r>
      <w:r w:rsidR="004D037C" w:rsidRPr="00B16415">
        <w:rPr>
          <w:rFonts w:cs="Arial"/>
        </w:rPr>
        <w:t>OCH</w:t>
      </w:r>
      <w:r w:rsidR="009C0F27" w:rsidRPr="00B16415">
        <w:rPr>
          <w:rFonts w:cs="Arial"/>
        </w:rPr>
        <w:t>NH</w:t>
      </w:r>
      <w:r w:rsidRPr="00B16415">
        <w:rPr>
          <w:rFonts w:cs="Arial"/>
        </w:rPr>
        <w:t>, případně třetích osob, postupuje se stejným způsobem, jak</w:t>
      </w:r>
      <w:r w:rsidR="00F01525" w:rsidRPr="00B16415">
        <w:rPr>
          <w:rFonts w:cs="Arial"/>
        </w:rPr>
        <w:t>ý</w:t>
      </w:r>
      <w:r w:rsidRPr="00B16415">
        <w:rPr>
          <w:rFonts w:cs="Arial"/>
        </w:rPr>
        <w:t xml:space="preserve"> je </w:t>
      </w:r>
      <w:r w:rsidR="00F01525" w:rsidRPr="00B16415">
        <w:rPr>
          <w:rFonts w:cs="Arial"/>
        </w:rPr>
        <w:t>popsán výše.</w:t>
      </w:r>
    </w:p>
    <w:p w14:paraId="2283F69F" w14:textId="3B9903CF" w:rsidR="001C47DD" w:rsidRDefault="001C47DD" w:rsidP="00595338">
      <w:pPr>
        <w:suppressAutoHyphens w:val="0"/>
        <w:spacing w:line="276" w:lineRule="auto"/>
        <w:contextualSpacing/>
        <w:jc w:val="both"/>
        <w:rPr>
          <w:rFonts w:asciiTheme="minorHAnsi" w:hAnsiTheme="minorHAnsi" w:cs="Arial"/>
        </w:rPr>
      </w:pPr>
    </w:p>
    <w:p w14:paraId="7BDA5628" w14:textId="77777777" w:rsidR="001C47DD" w:rsidRPr="004D037C" w:rsidRDefault="001C47DD" w:rsidP="001C47DD">
      <w:pPr>
        <w:pStyle w:val="Stnosti"/>
        <w:rPr>
          <w:rFonts w:ascii="Calibri" w:hAnsi="Calibri" w:cs="Calibri"/>
          <w:u w:val="single"/>
        </w:rPr>
      </w:pPr>
      <w:r w:rsidRPr="004D037C">
        <w:rPr>
          <w:rFonts w:ascii="Calibri" w:hAnsi="Calibri" w:cs="Calibri"/>
          <w:u w:val="single"/>
        </w:rPr>
        <w:t>Vyhodnocení stížnosti</w:t>
      </w:r>
    </w:p>
    <w:p w14:paraId="5ADD1EFE" w14:textId="381587F5" w:rsidR="001C47DD" w:rsidRPr="004D037C" w:rsidRDefault="001C47DD" w:rsidP="00B16415">
      <w:pPr>
        <w:numPr>
          <w:ilvl w:val="0"/>
          <w:numId w:val="21"/>
        </w:numPr>
        <w:suppressAutoHyphens w:val="0"/>
        <w:jc w:val="both"/>
        <w:rPr>
          <w:rFonts w:ascii="Calibri" w:hAnsi="Calibri" w:cs="Calibri"/>
          <w:b/>
          <w:sz w:val="28"/>
          <w:szCs w:val="28"/>
        </w:rPr>
      </w:pPr>
      <w:r w:rsidRPr="004D037C">
        <w:rPr>
          <w:rFonts w:ascii="Calibri" w:hAnsi="Calibri" w:cs="Calibri"/>
        </w:rPr>
        <w:t xml:space="preserve">PS se průběžně zabývá obsahem případných stížností a podnětů, které řeší na poradách pracovníků vedení a PS.  </w:t>
      </w:r>
    </w:p>
    <w:p w14:paraId="6FFAE611" w14:textId="7E865F49" w:rsidR="001C47DD" w:rsidRPr="004D037C" w:rsidRDefault="001C47DD" w:rsidP="00B16415">
      <w:pPr>
        <w:numPr>
          <w:ilvl w:val="0"/>
          <w:numId w:val="21"/>
        </w:numPr>
        <w:suppressAutoHyphens w:val="0"/>
        <w:jc w:val="both"/>
        <w:rPr>
          <w:rFonts w:ascii="Calibri" w:hAnsi="Calibri" w:cs="Calibri"/>
        </w:rPr>
      </w:pPr>
      <w:r w:rsidRPr="004D037C">
        <w:rPr>
          <w:rFonts w:ascii="Calibri" w:hAnsi="Calibri" w:cs="Calibri"/>
        </w:rPr>
        <w:t>Obsah oprávněných stížností, podněty jsou zahrnuty do vnitřních pravidel PS, případně do popisů pracovních náplní odpovědných pracovníků.</w:t>
      </w:r>
    </w:p>
    <w:p w14:paraId="7833F210" w14:textId="77777777" w:rsidR="001C47DD" w:rsidRPr="004D037C" w:rsidRDefault="001C47DD" w:rsidP="00595338">
      <w:pPr>
        <w:suppressAutoHyphens w:val="0"/>
        <w:spacing w:line="276" w:lineRule="auto"/>
        <w:contextualSpacing/>
        <w:jc w:val="both"/>
        <w:rPr>
          <w:rFonts w:ascii="Calibri" w:hAnsi="Calibri" w:cs="Calibri"/>
        </w:rPr>
      </w:pPr>
    </w:p>
    <w:sectPr w:rsidR="001C47DD" w:rsidRPr="004D037C" w:rsidSect="00D915B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CE825" w14:textId="77777777" w:rsidR="00357325" w:rsidRDefault="00357325" w:rsidP="00D95265">
      <w:r>
        <w:separator/>
      </w:r>
    </w:p>
  </w:endnote>
  <w:endnote w:type="continuationSeparator" w:id="0">
    <w:p w14:paraId="5501FC96" w14:textId="77777777" w:rsidR="00357325" w:rsidRDefault="00357325" w:rsidP="00D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I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82516" w14:textId="77777777" w:rsidR="00D95265" w:rsidRPr="00267D49" w:rsidRDefault="00D95265" w:rsidP="00D95265">
    <w:pPr>
      <w:pStyle w:val="Zpat"/>
      <w:tabs>
        <w:tab w:val="clear" w:pos="4536"/>
        <w:tab w:val="clear" w:pos="9072"/>
      </w:tabs>
      <w:spacing w:before="120"/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noProof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0DB5B5" wp14:editId="2400A8D6">
              <wp:simplePos x="0" y="0"/>
              <wp:positionH relativeFrom="margin">
                <wp:posOffset>-2127</wp:posOffset>
              </wp:positionH>
              <wp:positionV relativeFrom="paragraph">
                <wp:posOffset>9642</wp:posOffset>
              </wp:positionV>
              <wp:extent cx="6545403" cy="4253"/>
              <wp:effectExtent l="0" t="0" r="27305" b="342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45403" cy="4253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4BC5DA3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15pt,.75pt" to="515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">
              <w10:wrap anchorx="margin"/>
            </v:line>
          </w:pict>
        </mc:Fallback>
      </mc:AlternateContent>
    </w:r>
    <w:r w:rsidRPr="00267D49">
      <w:rPr>
        <w:rFonts w:ascii="Arial" w:hAnsi="Arial" w:cs="Arial"/>
        <w:sz w:val="16"/>
        <w:szCs w:val="16"/>
      </w:rPr>
      <w:t xml:space="preserve">Firma je zapsána v rejstříku právnických osob Ministerstva kultury České republiky č. ev.: </w:t>
    </w:r>
    <w:r w:rsidRPr="00306D24">
      <w:rPr>
        <w:rFonts w:ascii="Arial" w:hAnsi="Arial" w:cs="Arial"/>
        <w:sz w:val="16"/>
        <w:szCs w:val="16"/>
      </w:rPr>
      <w:t>8/1-04-712/1996</w:t>
    </w:r>
  </w:p>
  <w:p w14:paraId="17437B8F" w14:textId="77777777" w:rsidR="00D95265" w:rsidRPr="00267D49" w:rsidRDefault="00D95265" w:rsidP="00D95265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4175F41F" w14:textId="77777777" w:rsidR="005825D8" w:rsidRDefault="005825D8" w:rsidP="005825D8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Oblastní charita Nové Hrady u Skutče                                                                        Bankovní spojení: 132360</w:t>
    </w:r>
    <w:r w:rsidRPr="00306D24">
      <w:rPr>
        <w:rFonts w:ascii="Arial" w:hAnsi="Arial" w:cs="Arial"/>
        <w:sz w:val="16"/>
        <w:szCs w:val="16"/>
      </w:rPr>
      <w:t>0339/0800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  <w:p w14:paraId="65231EE7" w14:textId="77777777" w:rsidR="005825D8" w:rsidRDefault="005825D8" w:rsidP="005825D8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Chotovice 31, 570 01 Litomyšl                                                                                    Web: www.novehrady.charita.cz</w:t>
    </w:r>
  </w:p>
  <w:p w14:paraId="0F65755D" w14:textId="77777777" w:rsidR="005825D8" w:rsidRDefault="005825D8" w:rsidP="005825D8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 w:rsidRPr="00267D49">
      <w:rPr>
        <w:rFonts w:ascii="Arial" w:hAnsi="Arial" w:cs="Arial"/>
        <w:sz w:val="16"/>
        <w:szCs w:val="16"/>
      </w:rPr>
      <w:t xml:space="preserve">IČO: </w:t>
    </w:r>
    <w:r w:rsidRPr="00306D24">
      <w:rPr>
        <w:rFonts w:ascii="Arial" w:hAnsi="Arial" w:cs="Arial"/>
        <w:sz w:val="16"/>
        <w:szCs w:val="16"/>
      </w:rPr>
      <w:t>601 024 11</w:t>
    </w:r>
    <w:r w:rsidRPr="00267D49">
      <w:rPr>
        <w:rFonts w:ascii="Arial" w:hAnsi="Arial" w:cs="Arial"/>
        <w:sz w:val="16"/>
        <w:szCs w:val="16"/>
      </w:rPr>
      <w:t xml:space="preserve">, DIČ: </w:t>
    </w:r>
    <w:r w:rsidRPr="00306D24">
      <w:rPr>
        <w:rFonts w:ascii="Arial" w:hAnsi="Arial" w:cs="Arial"/>
        <w:sz w:val="16"/>
        <w:szCs w:val="16"/>
      </w:rPr>
      <w:t>CZ 601 024 11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</w:t>
    </w:r>
    <w:proofErr w:type="spellStart"/>
    <w:r>
      <w:rPr>
        <w:rFonts w:ascii="Arial" w:hAnsi="Arial" w:cs="Arial"/>
        <w:sz w:val="16"/>
        <w:szCs w:val="16"/>
      </w:rPr>
      <w:t>Facebook</w:t>
    </w:r>
    <w:proofErr w:type="spellEnd"/>
    <w:r>
      <w:rPr>
        <w:rFonts w:ascii="Arial" w:hAnsi="Arial" w:cs="Arial"/>
        <w:sz w:val="16"/>
        <w:szCs w:val="16"/>
      </w:rPr>
      <w:t xml:space="preserve">: </w:t>
    </w:r>
    <w:r w:rsidRPr="006F161C">
      <w:rPr>
        <w:rFonts w:ascii="Arial" w:hAnsi="Arial" w:cs="Arial"/>
        <w:sz w:val="16"/>
        <w:szCs w:val="16"/>
      </w:rPr>
      <w:t>www.facebook.com/charitachotovice</w:t>
    </w:r>
  </w:p>
  <w:p w14:paraId="209FEB48" w14:textId="20BE8D23" w:rsidR="00D95265" w:rsidRPr="005825D8" w:rsidRDefault="005825D8" w:rsidP="005825D8">
    <w:pPr>
      <w:pStyle w:val="Zpat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tel: 461 310 569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ab/>
      <w:t xml:space="preserve">  E-mail: </w:t>
    </w:r>
    <w:r w:rsidRPr="006F161C">
      <w:rPr>
        <w:rFonts w:ascii="Arial" w:hAnsi="Arial" w:cs="Arial"/>
        <w:sz w:val="16"/>
        <w:szCs w:val="16"/>
      </w:rPr>
      <w:t>blanka.voparilova@chnh.hk.caritas.cz</w:t>
    </w:r>
    <w:r>
      <w:rPr>
        <w:rFonts w:ascii="Arial" w:hAnsi="Arial" w:cs="Arial"/>
        <w:sz w:val="16"/>
        <w:szCs w:val="16"/>
      </w:rPr>
      <w:t xml:space="preserve">  </w:t>
    </w:r>
    <w:r w:rsidR="005B7C6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6BCD3" w14:textId="77777777" w:rsidR="00357325" w:rsidRDefault="00357325" w:rsidP="00D95265">
      <w:r>
        <w:separator/>
      </w:r>
    </w:p>
  </w:footnote>
  <w:footnote w:type="continuationSeparator" w:id="0">
    <w:p w14:paraId="45732391" w14:textId="77777777" w:rsidR="00357325" w:rsidRDefault="00357325" w:rsidP="00D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54CA6" w14:textId="60B7E976" w:rsidR="00D95265" w:rsidRDefault="00D95265" w:rsidP="00FB5AF4">
    <w:pPr>
      <w:pStyle w:val="Zhlav"/>
      <w:jc w:val="center"/>
      <w:rPr>
        <w:sz w:val="20"/>
      </w:rPr>
    </w:pPr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6B3D67DE" wp14:editId="2DC699F9">
          <wp:simplePos x="0" y="0"/>
          <wp:positionH relativeFrom="margin">
            <wp:posOffset>-323850</wp:posOffset>
          </wp:positionH>
          <wp:positionV relativeFrom="margin">
            <wp:posOffset>-720725</wp:posOffset>
          </wp:positionV>
          <wp:extent cx="2244090" cy="457200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ex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</w:t>
    </w:r>
    <w:r>
      <w:rPr>
        <w:sz w:val="20"/>
      </w:rPr>
      <w:tab/>
      <w:t xml:space="preserve"> </w:t>
    </w:r>
  </w:p>
  <w:p w14:paraId="49AA3BFE" w14:textId="77777777" w:rsidR="00D95265" w:rsidRDefault="00D952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2F1D"/>
    <w:multiLevelType w:val="hybridMultilevel"/>
    <w:tmpl w:val="32AC5F70"/>
    <w:lvl w:ilvl="0" w:tplc="04050017">
      <w:start w:val="1"/>
      <w:numFmt w:val="lowerLetter"/>
      <w:lvlText w:val="%1)"/>
      <w:lvlJc w:val="left"/>
      <w:pPr>
        <w:ind w:left="-198" w:hanging="360"/>
      </w:pPr>
    </w:lvl>
    <w:lvl w:ilvl="1" w:tplc="04050019" w:tentative="1">
      <w:start w:val="1"/>
      <w:numFmt w:val="lowerLetter"/>
      <w:lvlText w:val="%2."/>
      <w:lvlJc w:val="left"/>
      <w:pPr>
        <w:ind w:left="522" w:hanging="360"/>
      </w:pPr>
    </w:lvl>
    <w:lvl w:ilvl="2" w:tplc="0405001B" w:tentative="1">
      <w:start w:val="1"/>
      <w:numFmt w:val="lowerRoman"/>
      <w:lvlText w:val="%3."/>
      <w:lvlJc w:val="right"/>
      <w:pPr>
        <w:ind w:left="1242" w:hanging="180"/>
      </w:pPr>
    </w:lvl>
    <w:lvl w:ilvl="3" w:tplc="0405000F" w:tentative="1">
      <w:start w:val="1"/>
      <w:numFmt w:val="decimal"/>
      <w:lvlText w:val="%4."/>
      <w:lvlJc w:val="left"/>
      <w:pPr>
        <w:ind w:left="1962" w:hanging="360"/>
      </w:pPr>
    </w:lvl>
    <w:lvl w:ilvl="4" w:tplc="04050019" w:tentative="1">
      <w:start w:val="1"/>
      <w:numFmt w:val="lowerLetter"/>
      <w:lvlText w:val="%5."/>
      <w:lvlJc w:val="left"/>
      <w:pPr>
        <w:ind w:left="2682" w:hanging="360"/>
      </w:pPr>
    </w:lvl>
    <w:lvl w:ilvl="5" w:tplc="0405001B" w:tentative="1">
      <w:start w:val="1"/>
      <w:numFmt w:val="lowerRoman"/>
      <w:lvlText w:val="%6."/>
      <w:lvlJc w:val="right"/>
      <w:pPr>
        <w:ind w:left="3402" w:hanging="180"/>
      </w:pPr>
    </w:lvl>
    <w:lvl w:ilvl="6" w:tplc="0405000F" w:tentative="1">
      <w:start w:val="1"/>
      <w:numFmt w:val="decimal"/>
      <w:lvlText w:val="%7."/>
      <w:lvlJc w:val="left"/>
      <w:pPr>
        <w:ind w:left="4122" w:hanging="360"/>
      </w:pPr>
    </w:lvl>
    <w:lvl w:ilvl="7" w:tplc="04050019" w:tentative="1">
      <w:start w:val="1"/>
      <w:numFmt w:val="lowerLetter"/>
      <w:lvlText w:val="%8."/>
      <w:lvlJc w:val="left"/>
      <w:pPr>
        <w:ind w:left="4842" w:hanging="360"/>
      </w:pPr>
    </w:lvl>
    <w:lvl w:ilvl="8" w:tplc="0405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1" w15:restartNumberingAfterBreak="0">
    <w:nsid w:val="03050E75"/>
    <w:multiLevelType w:val="hybridMultilevel"/>
    <w:tmpl w:val="90A0D7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72AC7"/>
    <w:multiLevelType w:val="hybridMultilevel"/>
    <w:tmpl w:val="AD4A5BC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187182"/>
    <w:multiLevelType w:val="hybridMultilevel"/>
    <w:tmpl w:val="A2029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84292"/>
    <w:multiLevelType w:val="hybridMultilevel"/>
    <w:tmpl w:val="284411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974A2"/>
    <w:multiLevelType w:val="hybridMultilevel"/>
    <w:tmpl w:val="7D68745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622FC"/>
    <w:multiLevelType w:val="hybridMultilevel"/>
    <w:tmpl w:val="AFA8558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D26F0"/>
    <w:multiLevelType w:val="hybridMultilevel"/>
    <w:tmpl w:val="EF04040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554C"/>
    <w:multiLevelType w:val="hybridMultilevel"/>
    <w:tmpl w:val="F634DE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8250F"/>
    <w:multiLevelType w:val="hybridMultilevel"/>
    <w:tmpl w:val="E0D4D914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234A6A"/>
    <w:multiLevelType w:val="hybridMultilevel"/>
    <w:tmpl w:val="2A3496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B2084D"/>
    <w:multiLevelType w:val="hybridMultilevel"/>
    <w:tmpl w:val="3A8EA6FC"/>
    <w:lvl w:ilvl="0" w:tplc="5D9E0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5FBE"/>
    <w:multiLevelType w:val="hybridMultilevel"/>
    <w:tmpl w:val="9BE421DC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0D01EA"/>
    <w:multiLevelType w:val="hybridMultilevel"/>
    <w:tmpl w:val="365CBE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4034B"/>
    <w:multiLevelType w:val="hybridMultilevel"/>
    <w:tmpl w:val="1ADE0F3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D1949"/>
    <w:multiLevelType w:val="hybridMultilevel"/>
    <w:tmpl w:val="6C8491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60912"/>
    <w:multiLevelType w:val="hybridMultilevel"/>
    <w:tmpl w:val="5DF046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345EEA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9F85F62"/>
    <w:multiLevelType w:val="hybridMultilevel"/>
    <w:tmpl w:val="D12E8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BB76D0"/>
    <w:multiLevelType w:val="hybridMultilevel"/>
    <w:tmpl w:val="B290EB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25396"/>
    <w:multiLevelType w:val="hybridMultilevel"/>
    <w:tmpl w:val="B90C87A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1"/>
  </w:num>
  <w:num w:numId="5">
    <w:abstractNumId w:val="5"/>
  </w:num>
  <w:num w:numId="6">
    <w:abstractNumId w:val="19"/>
  </w:num>
  <w:num w:numId="7">
    <w:abstractNumId w:val="18"/>
  </w:num>
  <w:num w:numId="8">
    <w:abstractNumId w:val="16"/>
  </w:num>
  <w:num w:numId="9">
    <w:abstractNumId w:val="2"/>
  </w:num>
  <w:num w:numId="10">
    <w:abstractNumId w:val="3"/>
  </w:num>
  <w:num w:numId="11">
    <w:abstractNumId w:val="1"/>
  </w:num>
  <w:num w:numId="12">
    <w:abstractNumId w:val="10"/>
  </w:num>
  <w:num w:numId="13">
    <w:abstractNumId w:val="20"/>
  </w:num>
  <w:num w:numId="14">
    <w:abstractNumId w:val="13"/>
  </w:num>
  <w:num w:numId="15">
    <w:abstractNumId w:val="0"/>
  </w:num>
  <w:num w:numId="16">
    <w:abstractNumId w:val="15"/>
  </w:num>
  <w:num w:numId="17">
    <w:abstractNumId w:val="9"/>
  </w:num>
  <w:num w:numId="18">
    <w:abstractNumId w:val="12"/>
  </w:num>
  <w:num w:numId="19">
    <w:abstractNumId w:val="4"/>
  </w:num>
  <w:num w:numId="20">
    <w:abstractNumId w:val="6"/>
  </w:num>
  <w:num w:numId="21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65"/>
    <w:rsid w:val="00002B05"/>
    <w:rsid w:val="00013A4B"/>
    <w:rsid w:val="000215A8"/>
    <w:rsid w:val="00030A8C"/>
    <w:rsid w:val="00033CE8"/>
    <w:rsid w:val="00035714"/>
    <w:rsid w:val="00040D32"/>
    <w:rsid w:val="00042434"/>
    <w:rsid w:val="00046240"/>
    <w:rsid w:val="000473FE"/>
    <w:rsid w:val="00050052"/>
    <w:rsid w:val="000504AD"/>
    <w:rsid w:val="0005223C"/>
    <w:rsid w:val="00055783"/>
    <w:rsid w:val="00057F4B"/>
    <w:rsid w:val="00061772"/>
    <w:rsid w:val="00062705"/>
    <w:rsid w:val="00067B3E"/>
    <w:rsid w:val="0007026B"/>
    <w:rsid w:val="00073945"/>
    <w:rsid w:val="00074C95"/>
    <w:rsid w:val="00077A8E"/>
    <w:rsid w:val="000806DF"/>
    <w:rsid w:val="00090D89"/>
    <w:rsid w:val="000A41D2"/>
    <w:rsid w:val="000A45C4"/>
    <w:rsid w:val="000A5B8B"/>
    <w:rsid w:val="000B2B65"/>
    <w:rsid w:val="000B699E"/>
    <w:rsid w:val="000B7C23"/>
    <w:rsid w:val="000C5F11"/>
    <w:rsid w:val="000D055C"/>
    <w:rsid w:val="000E08FF"/>
    <w:rsid w:val="000E1CDE"/>
    <w:rsid w:val="000E209F"/>
    <w:rsid w:val="000E25F3"/>
    <w:rsid w:val="000E35C7"/>
    <w:rsid w:val="000E4A18"/>
    <w:rsid w:val="000E4CF5"/>
    <w:rsid w:val="000E7633"/>
    <w:rsid w:val="000F1DEA"/>
    <w:rsid w:val="000F49DB"/>
    <w:rsid w:val="000F7279"/>
    <w:rsid w:val="001057B3"/>
    <w:rsid w:val="00110D50"/>
    <w:rsid w:val="001118A6"/>
    <w:rsid w:val="0012032E"/>
    <w:rsid w:val="00123ED5"/>
    <w:rsid w:val="0012648A"/>
    <w:rsid w:val="001268BB"/>
    <w:rsid w:val="001273C6"/>
    <w:rsid w:val="001378A3"/>
    <w:rsid w:val="00141927"/>
    <w:rsid w:val="0014235A"/>
    <w:rsid w:val="001437C6"/>
    <w:rsid w:val="00143CAA"/>
    <w:rsid w:val="00147C13"/>
    <w:rsid w:val="001514C1"/>
    <w:rsid w:val="00155235"/>
    <w:rsid w:val="0016137F"/>
    <w:rsid w:val="00163F87"/>
    <w:rsid w:val="0017772E"/>
    <w:rsid w:val="00180299"/>
    <w:rsid w:val="00180604"/>
    <w:rsid w:val="001830D0"/>
    <w:rsid w:val="0018429E"/>
    <w:rsid w:val="00187E24"/>
    <w:rsid w:val="001905EB"/>
    <w:rsid w:val="0019285F"/>
    <w:rsid w:val="001929AF"/>
    <w:rsid w:val="00192DB2"/>
    <w:rsid w:val="0019648E"/>
    <w:rsid w:val="001A3BE2"/>
    <w:rsid w:val="001A4AB2"/>
    <w:rsid w:val="001B0D7E"/>
    <w:rsid w:val="001B1E7D"/>
    <w:rsid w:val="001B2F7D"/>
    <w:rsid w:val="001B425C"/>
    <w:rsid w:val="001B6004"/>
    <w:rsid w:val="001C14B0"/>
    <w:rsid w:val="001C179C"/>
    <w:rsid w:val="001C409B"/>
    <w:rsid w:val="001C47DD"/>
    <w:rsid w:val="001D181A"/>
    <w:rsid w:val="001E1D64"/>
    <w:rsid w:val="001E2434"/>
    <w:rsid w:val="001E4F04"/>
    <w:rsid w:val="001E6884"/>
    <w:rsid w:val="001F3840"/>
    <w:rsid w:val="001F6A76"/>
    <w:rsid w:val="00207FE0"/>
    <w:rsid w:val="00212D63"/>
    <w:rsid w:val="00216A29"/>
    <w:rsid w:val="002210B3"/>
    <w:rsid w:val="00222D2F"/>
    <w:rsid w:val="00227A48"/>
    <w:rsid w:val="00230DEA"/>
    <w:rsid w:val="002331CE"/>
    <w:rsid w:val="00240689"/>
    <w:rsid w:val="002429A0"/>
    <w:rsid w:val="00243131"/>
    <w:rsid w:val="002446A8"/>
    <w:rsid w:val="0025250A"/>
    <w:rsid w:val="00252D0F"/>
    <w:rsid w:val="00253714"/>
    <w:rsid w:val="0025515A"/>
    <w:rsid w:val="0025644F"/>
    <w:rsid w:val="00262486"/>
    <w:rsid w:val="0026462B"/>
    <w:rsid w:val="00264DEF"/>
    <w:rsid w:val="00265718"/>
    <w:rsid w:val="00267FAF"/>
    <w:rsid w:val="002814FE"/>
    <w:rsid w:val="00281B07"/>
    <w:rsid w:val="002840F7"/>
    <w:rsid w:val="0029567D"/>
    <w:rsid w:val="002A5D1C"/>
    <w:rsid w:val="002A7DC6"/>
    <w:rsid w:val="002B0082"/>
    <w:rsid w:val="002C0C6A"/>
    <w:rsid w:val="002C1A73"/>
    <w:rsid w:val="002C438E"/>
    <w:rsid w:val="002C5132"/>
    <w:rsid w:val="002C69D6"/>
    <w:rsid w:val="002C6CFC"/>
    <w:rsid w:val="002E0328"/>
    <w:rsid w:val="002E0AC3"/>
    <w:rsid w:val="002E0FB8"/>
    <w:rsid w:val="002E2882"/>
    <w:rsid w:val="002F28B6"/>
    <w:rsid w:val="002F589A"/>
    <w:rsid w:val="002F7E1C"/>
    <w:rsid w:val="00300B14"/>
    <w:rsid w:val="00301872"/>
    <w:rsid w:val="0030211D"/>
    <w:rsid w:val="00312ACA"/>
    <w:rsid w:val="003147AE"/>
    <w:rsid w:val="00320ED4"/>
    <w:rsid w:val="003232A3"/>
    <w:rsid w:val="003270D2"/>
    <w:rsid w:val="003329F8"/>
    <w:rsid w:val="00334E26"/>
    <w:rsid w:val="003448AD"/>
    <w:rsid w:val="00345F1D"/>
    <w:rsid w:val="003546A8"/>
    <w:rsid w:val="00357325"/>
    <w:rsid w:val="003651A6"/>
    <w:rsid w:val="003655C7"/>
    <w:rsid w:val="00365B82"/>
    <w:rsid w:val="00377835"/>
    <w:rsid w:val="00380FD5"/>
    <w:rsid w:val="00381DB5"/>
    <w:rsid w:val="00385A0E"/>
    <w:rsid w:val="003919ED"/>
    <w:rsid w:val="0039631A"/>
    <w:rsid w:val="003A15F5"/>
    <w:rsid w:val="003A4D15"/>
    <w:rsid w:val="003C2784"/>
    <w:rsid w:val="003C638A"/>
    <w:rsid w:val="003C752D"/>
    <w:rsid w:val="003D4E3F"/>
    <w:rsid w:val="003D54C9"/>
    <w:rsid w:val="003D7BA7"/>
    <w:rsid w:val="003E61C9"/>
    <w:rsid w:val="003E6EFF"/>
    <w:rsid w:val="003F7A24"/>
    <w:rsid w:val="00401E0C"/>
    <w:rsid w:val="00403CA3"/>
    <w:rsid w:val="004040BB"/>
    <w:rsid w:val="004050F7"/>
    <w:rsid w:val="00413AFC"/>
    <w:rsid w:val="00414889"/>
    <w:rsid w:val="00417850"/>
    <w:rsid w:val="00422C90"/>
    <w:rsid w:val="00423702"/>
    <w:rsid w:val="00426B66"/>
    <w:rsid w:val="004313D6"/>
    <w:rsid w:val="0043170F"/>
    <w:rsid w:val="0043361B"/>
    <w:rsid w:val="00433F21"/>
    <w:rsid w:val="004372E3"/>
    <w:rsid w:val="004400CF"/>
    <w:rsid w:val="00450CD7"/>
    <w:rsid w:val="0045241B"/>
    <w:rsid w:val="00452685"/>
    <w:rsid w:val="00454114"/>
    <w:rsid w:val="00466CF5"/>
    <w:rsid w:val="0046701D"/>
    <w:rsid w:val="00470421"/>
    <w:rsid w:val="0047279C"/>
    <w:rsid w:val="00473B3D"/>
    <w:rsid w:val="00477A79"/>
    <w:rsid w:val="004872C9"/>
    <w:rsid w:val="00491EFF"/>
    <w:rsid w:val="004932CC"/>
    <w:rsid w:val="00495E88"/>
    <w:rsid w:val="00496964"/>
    <w:rsid w:val="004A0782"/>
    <w:rsid w:val="004B0696"/>
    <w:rsid w:val="004B2DAB"/>
    <w:rsid w:val="004B4583"/>
    <w:rsid w:val="004C08EE"/>
    <w:rsid w:val="004C1DC3"/>
    <w:rsid w:val="004C3DDF"/>
    <w:rsid w:val="004C5C15"/>
    <w:rsid w:val="004C69E1"/>
    <w:rsid w:val="004D037C"/>
    <w:rsid w:val="004E310B"/>
    <w:rsid w:val="004E4AE6"/>
    <w:rsid w:val="004E51EE"/>
    <w:rsid w:val="004F123C"/>
    <w:rsid w:val="004F3F35"/>
    <w:rsid w:val="005042B2"/>
    <w:rsid w:val="00505317"/>
    <w:rsid w:val="00510D07"/>
    <w:rsid w:val="00514C24"/>
    <w:rsid w:val="005159DE"/>
    <w:rsid w:val="005214CD"/>
    <w:rsid w:val="00522A9F"/>
    <w:rsid w:val="00522EB4"/>
    <w:rsid w:val="00531E44"/>
    <w:rsid w:val="0053318B"/>
    <w:rsid w:val="0053381D"/>
    <w:rsid w:val="005379C8"/>
    <w:rsid w:val="00540E47"/>
    <w:rsid w:val="005417BC"/>
    <w:rsid w:val="0054452F"/>
    <w:rsid w:val="00554FFD"/>
    <w:rsid w:val="00557335"/>
    <w:rsid w:val="00557F7A"/>
    <w:rsid w:val="0056269C"/>
    <w:rsid w:val="00565516"/>
    <w:rsid w:val="005663D2"/>
    <w:rsid w:val="00566F6F"/>
    <w:rsid w:val="005726C4"/>
    <w:rsid w:val="005801E4"/>
    <w:rsid w:val="0058025B"/>
    <w:rsid w:val="005825D8"/>
    <w:rsid w:val="00582A9E"/>
    <w:rsid w:val="0058458E"/>
    <w:rsid w:val="00585259"/>
    <w:rsid w:val="00585370"/>
    <w:rsid w:val="0058562E"/>
    <w:rsid w:val="005865D2"/>
    <w:rsid w:val="00591BD0"/>
    <w:rsid w:val="00592C61"/>
    <w:rsid w:val="00593676"/>
    <w:rsid w:val="00595338"/>
    <w:rsid w:val="00597E30"/>
    <w:rsid w:val="005A6025"/>
    <w:rsid w:val="005B10FC"/>
    <w:rsid w:val="005B1616"/>
    <w:rsid w:val="005B6094"/>
    <w:rsid w:val="005B6A45"/>
    <w:rsid w:val="005B7C67"/>
    <w:rsid w:val="005C44F3"/>
    <w:rsid w:val="005C5004"/>
    <w:rsid w:val="005C51FD"/>
    <w:rsid w:val="005D23DC"/>
    <w:rsid w:val="005D5218"/>
    <w:rsid w:val="005D6521"/>
    <w:rsid w:val="005E2973"/>
    <w:rsid w:val="00601BAF"/>
    <w:rsid w:val="00602A33"/>
    <w:rsid w:val="00603E50"/>
    <w:rsid w:val="006123AD"/>
    <w:rsid w:val="00622F2D"/>
    <w:rsid w:val="00623AEF"/>
    <w:rsid w:val="00627C2B"/>
    <w:rsid w:val="00630A1C"/>
    <w:rsid w:val="006420C2"/>
    <w:rsid w:val="00642EF8"/>
    <w:rsid w:val="006438F5"/>
    <w:rsid w:val="00652963"/>
    <w:rsid w:val="00653B65"/>
    <w:rsid w:val="00653CBB"/>
    <w:rsid w:val="00654476"/>
    <w:rsid w:val="006556FF"/>
    <w:rsid w:val="00655AC5"/>
    <w:rsid w:val="00656F22"/>
    <w:rsid w:val="006643BC"/>
    <w:rsid w:val="00664CE0"/>
    <w:rsid w:val="006661AD"/>
    <w:rsid w:val="00666418"/>
    <w:rsid w:val="00671ED2"/>
    <w:rsid w:val="00681468"/>
    <w:rsid w:val="00682959"/>
    <w:rsid w:val="00685431"/>
    <w:rsid w:val="00690FB1"/>
    <w:rsid w:val="006A4AE4"/>
    <w:rsid w:val="006B3641"/>
    <w:rsid w:val="006B6027"/>
    <w:rsid w:val="006B6E9F"/>
    <w:rsid w:val="006B7AE1"/>
    <w:rsid w:val="006C0EFF"/>
    <w:rsid w:val="006C13B0"/>
    <w:rsid w:val="006C4E93"/>
    <w:rsid w:val="006C7769"/>
    <w:rsid w:val="006D1010"/>
    <w:rsid w:val="006D2E31"/>
    <w:rsid w:val="006D6512"/>
    <w:rsid w:val="006E11E2"/>
    <w:rsid w:val="006E1EBB"/>
    <w:rsid w:val="006E2B86"/>
    <w:rsid w:val="006E2BB5"/>
    <w:rsid w:val="006F0B12"/>
    <w:rsid w:val="006F122F"/>
    <w:rsid w:val="006F1F5D"/>
    <w:rsid w:val="00701874"/>
    <w:rsid w:val="00704F97"/>
    <w:rsid w:val="007054C8"/>
    <w:rsid w:val="007070D5"/>
    <w:rsid w:val="007103A1"/>
    <w:rsid w:val="00711697"/>
    <w:rsid w:val="00711B8B"/>
    <w:rsid w:val="00712070"/>
    <w:rsid w:val="0071234A"/>
    <w:rsid w:val="00715C1C"/>
    <w:rsid w:val="0072133F"/>
    <w:rsid w:val="007338FE"/>
    <w:rsid w:val="00733E3B"/>
    <w:rsid w:val="00734541"/>
    <w:rsid w:val="00735AD1"/>
    <w:rsid w:val="007443EA"/>
    <w:rsid w:val="00745EF5"/>
    <w:rsid w:val="00747EB9"/>
    <w:rsid w:val="00754AFE"/>
    <w:rsid w:val="007554A9"/>
    <w:rsid w:val="0075752D"/>
    <w:rsid w:val="007607E3"/>
    <w:rsid w:val="007617B7"/>
    <w:rsid w:val="007715F2"/>
    <w:rsid w:val="0077269D"/>
    <w:rsid w:val="007737B3"/>
    <w:rsid w:val="0077588D"/>
    <w:rsid w:val="00775EB2"/>
    <w:rsid w:val="00777867"/>
    <w:rsid w:val="00781891"/>
    <w:rsid w:val="0078238C"/>
    <w:rsid w:val="0078532B"/>
    <w:rsid w:val="007858F4"/>
    <w:rsid w:val="007862A4"/>
    <w:rsid w:val="00787066"/>
    <w:rsid w:val="007918ED"/>
    <w:rsid w:val="007962CC"/>
    <w:rsid w:val="007A296D"/>
    <w:rsid w:val="007A2A53"/>
    <w:rsid w:val="007A5F3B"/>
    <w:rsid w:val="007A7F80"/>
    <w:rsid w:val="007B1B55"/>
    <w:rsid w:val="007B2707"/>
    <w:rsid w:val="007B4508"/>
    <w:rsid w:val="007B783D"/>
    <w:rsid w:val="007C0336"/>
    <w:rsid w:val="007C4260"/>
    <w:rsid w:val="007D09C5"/>
    <w:rsid w:val="007D1610"/>
    <w:rsid w:val="007D18F1"/>
    <w:rsid w:val="007D2A96"/>
    <w:rsid w:val="007D35E8"/>
    <w:rsid w:val="007D4F41"/>
    <w:rsid w:val="007D6C4C"/>
    <w:rsid w:val="007E228D"/>
    <w:rsid w:val="007E28A9"/>
    <w:rsid w:val="007F0821"/>
    <w:rsid w:val="007F1C8C"/>
    <w:rsid w:val="007F458D"/>
    <w:rsid w:val="00803AC3"/>
    <w:rsid w:val="00805136"/>
    <w:rsid w:val="00810614"/>
    <w:rsid w:val="00811A45"/>
    <w:rsid w:val="00814C66"/>
    <w:rsid w:val="00815BB9"/>
    <w:rsid w:val="0081760B"/>
    <w:rsid w:val="008178FC"/>
    <w:rsid w:val="00820019"/>
    <w:rsid w:val="00833D0D"/>
    <w:rsid w:val="00836C4F"/>
    <w:rsid w:val="008413DA"/>
    <w:rsid w:val="00843082"/>
    <w:rsid w:val="008469BA"/>
    <w:rsid w:val="00850CCB"/>
    <w:rsid w:val="008546C0"/>
    <w:rsid w:val="00860536"/>
    <w:rsid w:val="00861828"/>
    <w:rsid w:val="008618C8"/>
    <w:rsid w:val="00871549"/>
    <w:rsid w:val="00875FF2"/>
    <w:rsid w:val="00877A34"/>
    <w:rsid w:val="0088018C"/>
    <w:rsid w:val="008805CF"/>
    <w:rsid w:val="008836F4"/>
    <w:rsid w:val="00887C3B"/>
    <w:rsid w:val="008A19DD"/>
    <w:rsid w:val="008A4A9E"/>
    <w:rsid w:val="008A7F17"/>
    <w:rsid w:val="008B0FC5"/>
    <w:rsid w:val="008B3225"/>
    <w:rsid w:val="008B6D57"/>
    <w:rsid w:val="008B72BA"/>
    <w:rsid w:val="008B7F25"/>
    <w:rsid w:val="008C035F"/>
    <w:rsid w:val="008C2E01"/>
    <w:rsid w:val="008C7771"/>
    <w:rsid w:val="008C7A12"/>
    <w:rsid w:val="008D2AE9"/>
    <w:rsid w:val="008D5A62"/>
    <w:rsid w:val="008D5E09"/>
    <w:rsid w:val="008D6D4F"/>
    <w:rsid w:val="008E064D"/>
    <w:rsid w:val="008E2701"/>
    <w:rsid w:val="008E2E0F"/>
    <w:rsid w:val="008E414B"/>
    <w:rsid w:val="008E4229"/>
    <w:rsid w:val="008E5096"/>
    <w:rsid w:val="008E6289"/>
    <w:rsid w:val="008F2D39"/>
    <w:rsid w:val="008F4495"/>
    <w:rsid w:val="008F4BA2"/>
    <w:rsid w:val="008F54E8"/>
    <w:rsid w:val="008F5900"/>
    <w:rsid w:val="008F5930"/>
    <w:rsid w:val="008F6B15"/>
    <w:rsid w:val="00905177"/>
    <w:rsid w:val="00913CD9"/>
    <w:rsid w:val="00915E94"/>
    <w:rsid w:val="00925298"/>
    <w:rsid w:val="00925A57"/>
    <w:rsid w:val="0092783D"/>
    <w:rsid w:val="00930C89"/>
    <w:rsid w:val="00932C1D"/>
    <w:rsid w:val="00935CE7"/>
    <w:rsid w:val="0093727F"/>
    <w:rsid w:val="00941D22"/>
    <w:rsid w:val="009429B5"/>
    <w:rsid w:val="009437A6"/>
    <w:rsid w:val="00955068"/>
    <w:rsid w:val="00956F32"/>
    <w:rsid w:val="00963EF4"/>
    <w:rsid w:val="00971964"/>
    <w:rsid w:val="00974AE8"/>
    <w:rsid w:val="009751FE"/>
    <w:rsid w:val="00976498"/>
    <w:rsid w:val="009777F5"/>
    <w:rsid w:val="00977D3E"/>
    <w:rsid w:val="00982C6E"/>
    <w:rsid w:val="00984FF9"/>
    <w:rsid w:val="00990412"/>
    <w:rsid w:val="0099131B"/>
    <w:rsid w:val="00993BCC"/>
    <w:rsid w:val="009954B4"/>
    <w:rsid w:val="009957B1"/>
    <w:rsid w:val="00996EBF"/>
    <w:rsid w:val="009A52EE"/>
    <w:rsid w:val="009A6B6E"/>
    <w:rsid w:val="009B28C4"/>
    <w:rsid w:val="009B433B"/>
    <w:rsid w:val="009B473A"/>
    <w:rsid w:val="009B5D8D"/>
    <w:rsid w:val="009C0F27"/>
    <w:rsid w:val="009C1FA0"/>
    <w:rsid w:val="009C6EFD"/>
    <w:rsid w:val="009D462C"/>
    <w:rsid w:val="009D585E"/>
    <w:rsid w:val="009D65D2"/>
    <w:rsid w:val="009E1B82"/>
    <w:rsid w:val="009E6A9E"/>
    <w:rsid w:val="009E6AB3"/>
    <w:rsid w:val="009F0877"/>
    <w:rsid w:val="009F0F3A"/>
    <w:rsid w:val="009F1CC4"/>
    <w:rsid w:val="009F42C0"/>
    <w:rsid w:val="009F703C"/>
    <w:rsid w:val="00A0020F"/>
    <w:rsid w:val="00A00BFB"/>
    <w:rsid w:val="00A0146D"/>
    <w:rsid w:val="00A03019"/>
    <w:rsid w:val="00A1112F"/>
    <w:rsid w:val="00A1382F"/>
    <w:rsid w:val="00A13B9F"/>
    <w:rsid w:val="00A14B80"/>
    <w:rsid w:val="00A14FD6"/>
    <w:rsid w:val="00A20F27"/>
    <w:rsid w:val="00A3541D"/>
    <w:rsid w:val="00A36C3D"/>
    <w:rsid w:val="00A4026B"/>
    <w:rsid w:val="00A51899"/>
    <w:rsid w:val="00A54521"/>
    <w:rsid w:val="00A5558D"/>
    <w:rsid w:val="00A6222E"/>
    <w:rsid w:val="00A639AF"/>
    <w:rsid w:val="00A744B3"/>
    <w:rsid w:val="00A746FF"/>
    <w:rsid w:val="00A7665B"/>
    <w:rsid w:val="00A7716C"/>
    <w:rsid w:val="00A84522"/>
    <w:rsid w:val="00A93FFA"/>
    <w:rsid w:val="00AA0495"/>
    <w:rsid w:val="00AA0606"/>
    <w:rsid w:val="00AA3B04"/>
    <w:rsid w:val="00AA5CC2"/>
    <w:rsid w:val="00AB1AE6"/>
    <w:rsid w:val="00AB296C"/>
    <w:rsid w:val="00AC2DFF"/>
    <w:rsid w:val="00AC32EF"/>
    <w:rsid w:val="00AC727E"/>
    <w:rsid w:val="00AD465B"/>
    <w:rsid w:val="00AD5F10"/>
    <w:rsid w:val="00AD5F98"/>
    <w:rsid w:val="00AD647D"/>
    <w:rsid w:val="00AD67D5"/>
    <w:rsid w:val="00AE3A22"/>
    <w:rsid w:val="00AE403C"/>
    <w:rsid w:val="00AE5EDD"/>
    <w:rsid w:val="00AE6569"/>
    <w:rsid w:val="00AF11AB"/>
    <w:rsid w:val="00AF1445"/>
    <w:rsid w:val="00AF3B02"/>
    <w:rsid w:val="00B00A66"/>
    <w:rsid w:val="00B079E9"/>
    <w:rsid w:val="00B16415"/>
    <w:rsid w:val="00B22423"/>
    <w:rsid w:val="00B225C8"/>
    <w:rsid w:val="00B276C5"/>
    <w:rsid w:val="00B3157B"/>
    <w:rsid w:val="00B349B9"/>
    <w:rsid w:val="00B41F1A"/>
    <w:rsid w:val="00B47CD2"/>
    <w:rsid w:val="00B50A78"/>
    <w:rsid w:val="00B51893"/>
    <w:rsid w:val="00B575ED"/>
    <w:rsid w:val="00B62067"/>
    <w:rsid w:val="00B6470D"/>
    <w:rsid w:val="00B67061"/>
    <w:rsid w:val="00B73242"/>
    <w:rsid w:val="00B76C4C"/>
    <w:rsid w:val="00B814B5"/>
    <w:rsid w:val="00B817FD"/>
    <w:rsid w:val="00B86418"/>
    <w:rsid w:val="00B876D8"/>
    <w:rsid w:val="00BA2513"/>
    <w:rsid w:val="00BA5510"/>
    <w:rsid w:val="00BA5745"/>
    <w:rsid w:val="00BB0DEC"/>
    <w:rsid w:val="00BC4976"/>
    <w:rsid w:val="00BD0E39"/>
    <w:rsid w:val="00BD1174"/>
    <w:rsid w:val="00BD3E5F"/>
    <w:rsid w:val="00BE131F"/>
    <w:rsid w:val="00BF0EE9"/>
    <w:rsid w:val="00BF1158"/>
    <w:rsid w:val="00BF1219"/>
    <w:rsid w:val="00BF2A15"/>
    <w:rsid w:val="00BF34A4"/>
    <w:rsid w:val="00BF49F2"/>
    <w:rsid w:val="00BF5A7A"/>
    <w:rsid w:val="00BF6D0C"/>
    <w:rsid w:val="00C01713"/>
    <w:rsid w:val="00C01BC8"/>
    <w:rsid w:val="00C024C3"/>
    <w:rsid w:val="00C076AA"/>
    <w:rsid w:val="00C12602"/>
    <w:rsid w:val="00C15323"/>
    <w:rsid w:val="00C21AC1"/>
    <w:rsid w:val="00C235F7"/>
    <w:rsid w:val="00C3110C"/>
    <w:rsid w:val="00C32C36"/>
    <w:rsid w:val="00C51BA7"/>
    <w:rsid w:val="00C525AF"/>
    <w:rsid w:val="00C56E01"/>
    <w:rsid w:val="00C6096F"/>
    <w:rsid w:val="00C62D80"/>
    <w:rsid w:val="00C72C5D"/>
    <w:rsid w:val="00C74891"/>
    <w:rsid w:val="00C7606D"/>
    <w:rsid w:val="00C76AFB"/>
    <w:rsid w:val="00C81A98"/>
    <w:rsid w:val="00C87142"/>
    <w:rsid w:val="00C9462C"/>
    <w:rsid w:val="00C97420"/>
    <w:rsid w:val="00CA28A9"/>
    <w:rsid w:val="00CA5402"/>
    <w:rsid w:val="00CA6B1D"/>
    <w:rsid w:val="00CA6B96"/>
    <w:rsid w:val="00CA7F44"/>
    <w:rsid w:val="00CB333F"/>
    <w:rsid w:val="00CB42B8"/>
    <w:rsid w:val="00CC2E45"/>
    <w:rsid w:val="00CD6A0E"/>
    <w:rsid w:val="00CD6E6D"/>
    <w:rsid w:val="00CD7435"/>
    <w:rsid w:val="00CE0FA6"/>
    <w:rsid w:val="00CE2192"/>
    <w:rsid w:val="00CE3667"/>
    <w:rsid w:val="00CE6DB5"/>
    <w:rsid w:val="00CF0D14"/>
    <w:rsid w:val="00D0214F"/>
    <w:rsid w:val="00D070B7"/>
    <w:rsid w:val="00D076F3"/>
    <w:rsid w:val="00D162AC"/>
    <w:rsid w:val="00D205B5"/>
    <w:rsid w:val="00D22F87"/>
    <w:rsid w:val="00D2769A"/>
    <w:rsid w:val="00D31C78"/>
    <w:rsid w:val="00D35D72"/>
    <w:rsid w:val="00D41B64"/>
    <w:rsid w:val="00D41EB7"/>
    <w:rsid w:val="00D442DB"/>
    <w:rsid w:val="00D478FB"/>
    <w:rsid w:val="00D54590"/>
    <w:rsid w:val="00D671BC"/>
    <w:rsid w:val="00D67822"/>
    <w:rsid w:val="00D73684"/>
    <w:rsid w:val="00D81B8D"/>
    <w:rsid w:val="00D826D9"/>
    <w:rsid w:val="00D836E6"/>
    <w:rsid w:val="00D8524A"/>
    <w:rsid w:val="00D915B8"/>
    <w:rsid w:val="00D95265"/>
    <w:rsid w:val="00D95F0C"/>
    <w:rsid w:val="00D973A0"/>
    <w:rsid w:val="00D97E7B"/>
    <w:rsid w:val="00D97FF7"/>
    <w:rsid w:val="00DB1E1B"/>
    <w:rsid w:val="00DB2407"/>
    <w:rsid w:val="00DB4570"/>
    <w:rsid w:val="00DC44BA"/>
    <w:rsid w:val="00DC6A2F"/>
    <w:rsid w:val="00DC6CF0"/>
    <w:rsid w:val="00DC7391"/>
    <w:rsid w:val="00DD3597"/>
    <w:rsid w:val="00DE14BE"/>
    <w:rsid w:val="00DE15C2"/>
    <w:rsid w:val="00DE2E95"/>
    <w:rsid w:val="00DE380D"/>
    <w:rsid w:val="00DE452F"/>
    <w:rsid w:val="00DE5D70"/>
    <w:rsid w:val="00DF24D7"/>
    <w:rsid w:val="00DF3406"/>
    <w:rsid w:val="00DF713E"/>
    <w:rsid w:val="00DF7F0E"/>
    <w:rsid w:val="00E04FBE"/>
    <w:rsid w:val="00E05B3F"/>
    <w:rsid w:val="00E069CF"/>
    <w:rsid w:val="00E1126E"/>
    <w:rsid w:val="00E11AB8"/>
    <w:rsid w:val="00E12AF4"/>
    <w:rsid w:val="00E13A9E"/>
    <w:rsid w:val="00E239A9"/>
    <w:rsid w:val="00E245A9"/>
    <w:rsid w:val="00E27B15"/>
    <w:rsid w:val="00E310F1"/>
    <w:rsid w:val="00E31347"/>
    <w:rsid w:val="00E35C25"/>
    <w:rsid w:val="00E36D4F"/>
    <w:rsid w:val="00E5091E"/>
    <w:rsid w:val="00E51E0F"/>
    <w:rsid w:val="00E5232E"/>
    <w:rsid w:val="00E54603"/>
    <w:rsid w:val="00E63568"/>
    <w:rsid w:val="00E663BD"/>
    <w:rsid w:val="00E66E65"/>
    <w:rsid w:val="00E70E60"/>
    <w:rsid w:val="00E723AA"/>
    <w:rsid w:val="00E74E2E"/>
    <w:rsid w:val="00E75265"/>
    <w:rsid w:val="00E83A60"/>
    <w:rsid w:val="00E84369"/>
    <w:rsid w:val="00E859AC"/>
    <w:rsid w:val="00E9136E"/>
    <w:rsid w:val="00E92BD9"/>
    <w:rsid w:val="00E93681"/>
    <w:rsid w:val="00E96865"/>
    <w:rsid w:val="00EA1B62"/>
    <w:rsid w:val="00EB2B7F"/>
    <w:rsid w:val="00EC0B4E"/>
    <w:rsid w:val="00EC28BE"/>
    <w:rsid w:val="00EC5CA6"/>
    <w:rsid w:val="00ED1699"/>
    <w:rsid w:val="00ED30DB"/>
    <w:rsid w:val="00EF043D"/>
    <w:rsid w:val="00EF1648"/>
    <w:rsid w:val="00EF3E02"/>
    <w:rsid w:val="00EF54D4"/>
    <w:rsid w:val="00F01525"/>
    <w:rsid w:val="00F02E72"/>
    <w:rsid w:val="00F04C2D"/>
    <w:rsid w:val="00F23046"/>
    <w:rsid w:val="00F249F2"/>
    <w:rsid w:val="00F2566A"/>
    <w:rsid w:val="00F262B7"/>
    <w:rsid w:val="00F26534"/>
    <w:rsid w:val="00F273DF"/>
    <w:rsid w:val="00F404BD"/>
    <w:rsid w:val="00F408D5"/>
    <w:rsid w:val="00F46631"/>
    <w:rsid w:val="00F50464"/>
    <w:rsid w:val="00F51941"/>
    <w:rsid w:val="00F558FE"/>
    <w:rsid w:val="00F63815"/>
    <w:rsid w:val="00F64D25"/>
    <w:rsid w:val="00F6739A"/>
    <w:rsid w:val="00F704DF"/>
    <w:rsid w:val="00F8063F"/>
    <w:rsid w:val="00F821EA"/>
    <w:rsid w:val="00F82B25"/>
    <w:rsid w:val="00F93F7C"/>
    <w:rsid w:val="00F94F36"/>
    <w:rsid w:val="00F95C29"/>
    <w:rsid w:val="00F960EB"/>
    <w:rsid w:val="00F97E61"/>
    <w:rsid w:val="00FA17BF"/>
    <w:rsid w:val="00FA2FAD"/>
    <w:rsid w:val="00FA4524"/>
    <w:rsid w:val="00FA65B5"/>
    <w:rsid w:val="00FB009C"/>
    <w:rsid w:val="00FB5AF4"/>
    <w:rsid w:val="00FB5B1C"/>
    <w:rsid w:val="00FC1093"/>
    <w:rsid w:val="00FC1BBC"/>
    <w:rsid w:val="00FC48C8"/>
    <w:rsid w:val="00FD0E79"/>
    <w:rsid w:val="00FD331C"/>
    <w:rsid w:val="00FD53B3"/>
    <w:rsid w:val="00FD55DA"/>
    <w:rsid w:val="00FE4DCB"/>
    <w:rsid w:val="00FE552E"/>
    <w:rsid w:val="00FE57B4"/>
    <w:rsid w:val="00FE584D"/>
    <w:rsid w:val="00FF1168"/>
    <w:rsid w:val="00FF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13E22"/>
  <w15:chartTrackingRefBased/>
  <w15:docId w15:val="{17DC96B8-7209-4DF0-BC02-B5EE997E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E9136E"/>
    <w:pPr>
      <w:keepNext/>
      <w:numPr>
        <w:numId w:val="1"/>
      </w:numPr>
      <w:suppressAutoHyphens w:val="0"/>
      <w:spacing w:before="120" w:after="120" w:line="264" w:lineRule="auto"/>
      <w:outlineLvl w:val="0"/>
    </w:pPr>
    <w:rPr>
      <w:rFonts w:ascii="Aptos" w:eastAsiaTheme="minorHAnsi" w:hAnsi="Aptos"/>
      <w:b/>
      <w:bCs/>
      <w:color w:val="000000"/>
      <w:kern w:val="36"/>
      <w:sz w:val="28"/>
      <w:szCs w:val="28"/>
      <w:lang w:eastAsia="cs-CZ"/>
    </w:rPr>
  </w:style>
  <w:style w:type="paragraph" w:styleId="Nadpis2">
    <w:name w:val="heading 2"/>
    <w:basedOn w:val="Normln"/>
    <w:link w:val="Nadpis2Char"/>
    <w:uiPriority w:val="9"/>
    <w:unhideWhenUsed/>
    <w:qFormat/>
    <w:rsid w:val="00E9136E"/>
    <w:pPr>
      <w:keepNext/>
      <w:numPr>
        <w:ilvl w:val="1"/>
        <w:numId w:val="1"/>
      </w:numPr>
      <w:suppressAutoHyphens w:val="0"/>
      <w:spacing w:before="120" w:after="120" w:line="252" w:lineRule="auto"/>
      <w:outlineLvl w:val="1"/>
    </w:pPr>
    <w:rPr>
      <w:rFonts w:ascii="Aptos" w:eastAsiaTheme="minorHAnsi" w:hAnsi="Aptos"/>
      <w:b/>
      <w:bCs/>
      <w:color w:val="000000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E9136E"/>
    <w:pPr>
      <w:keepNext/>
      <w:numPr>
        <w:ilvl w:val="2"/>
        <w:numId w:val="1"/>
      </w:numPr>
      <w:suppressAutoHyphens w:val="0"/>
      <w:spacing w:before="120" w:after="120" w:line="252" w:lineRule="auto"/>
      <w:outlineLvl w:val="2"/>
    </w:pPr>
    <w:rPr>
      <w:rFonts w:ascii="Aptos" w:eastAsiaTheme="minorHAnsi" w:hAnsi="Aptos"/>
      <w:b/>
      <w:bCs/>
      <w:color w:val="000000"/>
      <w:lang w:eastAsia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E9136E"/>
    <w:pPr>
      <w:keepNext/>
      <w:numPr>
        <w:ilvl w:val="3"/>
        <w:numId w:val="1"/>
      </w:numPr>
      <w:suppressAutoHyphens w:val="0"/>
      <w:spacing w:before="120" w:after="120" w:line="252" w:lineRule="auto"/>
      <w:outlineLvl w:val="3"/>
    </w:pPr>
    <w:rPr>
      <w:rFonts w:ascii="Aptos" w:eastAsiaTheme="minorHAnsi" w:hAnsi="Aptos"/>
      <w:b/>
      <w:bCs/>
      <w:color w:val="000000"/>
      <w:lang w:eastAsia="cs-CZ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E9136E"/>
    <w:pPr>
      <w:keepNext/>
      <w:numPr>
        <w:ilvl w:val="4"/>
        <w:numId w:val="1"/>
      </w:numPr>
      <w:suppressAutoHyphens w:val="0"/>
      <w:spacing w:after="219" w:line="252" w:lineRule="auto"/>
      <w:outlineLvl w:val="4"/>
    </w:pPr>
    <w:rPr>
      <w:rFonts w:eastAsiaTheme="minorHAnsi"/>
      <w:b/>
      <w:bCs/>
      <w:color w:val="000000"/>
      <w:lang w:eastAsia="cs-CZ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E9136E"/>
    <w:pPr>
      <w:keepNext/>
      <w:numPr>
        <w:ilvl w:val="5"/>
        <w:numId w:val="1"/>
      </w:numPr>
      <w:suppressAutoHyphens w:val="0"/>
      <w:spacing w:after="219" w:line="252" w:lineRule="auto"/>
      <w:outlineLvl w:val="5"/>
    </w:pPr>
    <w:rPr>
      <w:rFonts w:eastAsiaTheme="minorHAnsi"/>
      <w:b/>
      <w:bCs/>
      <w:color w:val="000000"/>
      <w:lang w:eastAsia="cs-CZ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E9136E"/>
    <w:pPr>
      <w:keepNext/>
      <w:numPr>
        <w:ilvl w:val="6"/>
        <w:numId w:val="1"/>
      </w:numPr>
      <w:suppressAutoHyphens w:val="0"/>
      <w:spacing w:before="40" w:line="384" w:lineRule="auto"/>
      <w:jc w:val="both"/>
      <w:outlineLvl w:val="6"/>
    </w:pPr>
    <w:rPr>
      <w:rFonts w:ascii="Arial" w:eastAsiaTheme="minorHAnsi" w:hAnsi="Arial" w:cs="Arial"/>
      <w:i/>
      <w:iCs/>
      <w:color w:val="0A2F40"/>
      <w:lang w:eastAsia="cs-CZ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E9136E"/>
    <w:pPr>
      <w:keepNext/>
      <w:numPr>
        <w:ilvl w:val="7"/>
        <w:numId w:val="1"/>
      </w:numPr>
      <w:suppressAutoHyphens w:val="0"/>
      <w:spacing w:before="40" w:line="384" w:lineRule="auto"/>
      <w:jc w:val="both"/>
      <w:outlineLvl w:val="7"/>
    </w:pPr>
    <w:rPr>
      <w:rFonts w:ascii="Arial" w:eastAsiaTheme="minorHAnsi" w:hAnsi="Arial" w:cs="Arial"/>
      <w:color w:val="272727"/>
      <w:sz w:val="21"/>
      <w:szCs w:val="21"/>
      <w:lang w:eastAsia="cs-CZ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E9136E"/>
    <w:pPr>
      <w:keepNext/>
      <w:numPr>
        <w:ilvl w:val="8"/>
        <w:numId w:val="1"/>
      </w:numPr>
      <w:suppressAutoHyphens w:val="0"/>
      <w:spacing w:before="40" w:line="384" w:lineRule="auto"/>
      <w:jc w:val="both"/>
      <w:outlineLvl w:val="8"/>
    </w:pPr>
    <w:rPr>
      <w:rFonts w:ascii="Arial" w:eastAsiaTheme="minorHAnsi" w:hAnsi="Arial" w:cs="Arial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95265"/>
    <w:pPr>
      <w:tabs>
        <w:tab w:val="center" w:pos="4536"/>
        <w:tab w:val="right" w:pos="9072"/>
      </w:tabs>
      <w:spacing w:after="120"/>
      <w:ind w:right="284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95265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39"/>
    <w:rsid w:val="00D9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nhideWhenUsed/>
    <w:rsid w:val="00D952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2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rsid w:val="00D95265"/>
    <w:rPr>
      <w:color w:val="0000FF"/>
      <w:u w:val="single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BF5A7A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BF5A7A"/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F5A7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A7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A7A"/>
    <w:rPr>
      <w:rFonts w:ascii="Tahoma" w:hAnsi="Tahoma" w:cs="Tahoma"/>
      <w:sz w:val="16"/>
      <w:szCs w:val="16"/>
    </w:rPr>
  </w:style>
  <w:style w:type="character" w:customStyle="1" w:styleId="1odstavecArial11">
    <w:name w:val="1_odstavec_Arial11"/>
    <w:rsid w:val="00BF5A7A"/>
    <w:rPr>
      <w:rFonts w:ascii="MyriadPro-LightIt" w:hAnsi="MyriadPro-LightIt" w:hint="default"/>
      <w:color w:val="000000"/>
      <w:sz w:val="22"/>
    </w:rPr>
  </w:style>
  <w:style w:type="paragraph" w:customStyle="1" w:styleId="Odstavec">
    <w:name w:val="Odstavec"/>
    <w:basedOn w:val="Normln"/>
    <w:qFormat/>
    <w:rsid w:val="00BF5A7A"/>
    <w:pPr>
      <w:suppressAutoHyphens w:val="0"/>
      <w:autoSpaceDE w:val="0"/>
      <w:autoSpaceDN w:val="0"/>
      <w:adjustRightInd w:val="0"/>
      <w:spacing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5A7A"/>
    <w:rPr>
      <w:color w:val="605E5C"/>
      <w:shd w:val="clear" w:color="auto" w:fill="E1DFDD"/>
    </w:rPr>
  </w:style>
  <w:style w:type="paragraph" w:customStyle="1" w:styleId="Normlnodsazen1">
    <w:name w:val="Normální odsazený1"/>
    <w:basedOn w:val="Normln"/>
    <w:rsid w:val="00DE2E95"/>
    <w:pPr>
      <w:ind w:left="708"/>
    </w:pPr>
  </w:style>
  <w:style w:type="paragraph" w:customStyle="1" w:styleId="Default">
    <w:name w:val="Default"/>
    <w:rsid w:val="00941D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6B7A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B7A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B7A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E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E9136E"/>
    <w:rPr>
      <w:rFonts w:ascii="Aptos" w:hAnsi="Aptos" w:cs="Times New Roman"/>
      <w:b/>
      <w:bCs/>
      <w:color w:val="000000"/>
      <w:kern w:val="3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9136E"/>
    <w:rPr>
      <w:rFonts w:ascii="Aptos" w:hAnsi="Aptos" w:cs="Times New Roman"/>
      <w:b/>
      <w:bCs/>
      <w:color w:val="00000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136E"/>
    <w:rPr>
      <w:rFonts w:ascii="Aptos" w:hAnsi="Aptos" w:cs="Times New Roman"/>
      <w:b/>
      <w:bCs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36E"/>
    <w:rPr>
      <w:rFonts w:ascii="Aptos" w:hAnsi="Aptos" w:cs="Times New Roman"/>
      <w:b/>
      <w:bCs/>
      <w:color w:val="000000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36E"/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36E"/>
    <w:rPr>
      <w:rFonts w:ascii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36E"/>
    <w:rPr>
      <w:rFonts w:ascii="Arial" w:hAnsi="Arial" w:cs="Arial"/>
      <w:i/>
      <w:iCs/>
      <w:color w:val="0A2F4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36E"/>
    <w:rPr>
      <w:rFonts w:ascii="Arial" w:hAnsi="Arial" w:cs="Arial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36E"/>
    <w:rPr>
      <w:rFonts w:ascii="Arial" w:hAnsi="Arial" w:cs="Arial"/>
      <w:i/>
      <w:iCs/>
      <w:color w:val="272727"/>
      <w:sz w:val="21"/>
      <w:szCs w:val="21"/>
      <w:lang w:eastAsia="cs-CZ"/>
    </w:rPr>
  </w:style>
  <w:style w:type="paragraph" w:customStyle="1" w:styleId="l6">
    <w:name w:val="l6"/>
    <w:basedOn w:val="Normln"/>
    <w:rsid w:val="00DB1E1B"/>
    <w:pPr>
      <w:suppressAutoHyphens w:val="0"/>
      <w:spacing w:before="100" w:beforeAutospacing="1" w:after="100" w:afterAutospacing="1"/>
    </w:pPr>
    <w:rPr>
      <w:lang w:eastAsia="cs-CZ"/>
    </w:rPr>
  </w:style>
  <w:style w:type="paragraph" w:styleId="Revize">
    <w:name w:val="Revision"/>
    <w:hidden/>
    <w:uiPriority w:val="99"/>
    <w:semiHidden/>
    <w:rsid w:val="0047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nodsazen">
    <w:name w:val="Normal Indent"/>
    <w:basedOn w:val="Normln"/>
    <w:uiPriority w:val="99"/>
    <w:rsid w:val="00DC44BA"/>
    <w:pPr>
      <w:suppressAutoHyphens w:val="0"/>
      <w:ind w:left="708"/>
    </w:pPr>
    <w:rPr>
      <w:lang w:eastAsia="cs-CZ"/>
    </w:rPr>
  </w:style>
  <w:style w:type="paragraph" w:styleId="Zkladntextodsazen2">
    <w:name w:val="Body Text Indent 2"/>
    <w:basedOn w:val="Normln"/>
    <w:link w:val="Zkladntextodsazen2Char"/>
    <w:rsid w:val="0019648E"/>
    <w:pPr>
      <w:suppressAutoHyphens w:val="0"/>
      <w:ind w:left="567"/>
    </w:pPr>
    <w:rPr>
      <w:sz w:val="28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19648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Stnosti">
    <w:name w:val="Stížnosti"/>
    <w:basedOn w:val="Normln"/>
    <w:rsid w:val="00DC7391"/>
    <w:pPr>
      <w:suppressAutoHyphens w:val="0"/>
      <w:jc w:val="both"/>
    </w:pPr>
    <w:rPr>
      <w:b/>
      <w:bCs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37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37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voparilova@chnh.hk.caritas.cz" TargetMode="External"/><Relationship Id="rId13" Type="http://schemas.openxmlformats.org/officeDocument/2006/relationships/hyperlink" Target="mailto:biskupstvi@bih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chhk@hk.caritas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ochranc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iskupstvi@bi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mpsv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BF06-9CEF-41E7-A86F-66D13866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2673</Words>
  <Characters>15774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Švecová</dc:creator>
  <cp:keywords/>
  <dc:description/>
  <cp:lastModifiedBy>Josef Šmolík</cp:lastModifiedBy>
  <cp:revision>6</cp:revision>
  <cp:lastPrinted>2024-08-13T11:55:00Z</cp:lastPrinted>
  <dcterms:created xsi:type="dcterms:W3CDTF">2025-04-01T16:36:00Z</dcterms:created>
  <dcterms:modified xsi:type="dcterms:W3CDTF">2025-04-02T14:51:00Z</dcterms:modified>
</cp:coreProperties>
</file>